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E855C2">
      <w:pPr>
        <w:rPr>
          <w:rFonts w:hint="default" w:ascii="Times New Roman" w:hAnsi="Times New Roman" w:eastAsia="仿宋" w:cs="Times New Roman"/>
          <w:sz w:val="32"/>
          <w:szCs w:val="32"/>
          <w:highlight w:val="none"/>
          <w:u w:val="none"/>
        </w:rPr>
      </w:pPr>
      <w:bookmarkStart w:id="0" w:name="_GoBack"/>
      <w:bookmarkEnd w:id="0"/>
      <w:r>
        <w:rPr>
          <w:rFonts w:hint="eastAsia" w:ascii="Times New Roman" w:hAnsi="Times New Roman" w:eastAsia="仿宋" w:cs="Times New Roman"/>
          <w:sz w:val="32"/>
          <w:szCs w:val="32"/>
          <w:highlight w:val="none"/>
          <w:u w:val="none"/>
        </w:rPr>
        <w:t>附件2</w:t>
      </w:r>
    </w:p>
    <w:p w14:paraId="6A2EA30E">
      <w:pPr>
        <w:spacing w:line="240" w:lineRule="auto"/>
        <w:ind w:firstLine="0" w:firstLineChars="0"/>
        <w:jc w:val="center"/>
        <w:rPr>
          <w:rFonts w:eastAsia="方正小标宋简体" w:cs="Times New Roman"/>
          <w:sz w:val="36"/>
          <w:szCs w:val="36"/>
          <w:u w:val="none"/>
        </w:rPr>
      </w:pPr>
      <w:r>
        <w:rPr>
          <w:rFonts w:hint="eastAsia" w:eastAsia="方正小标宋简体" w:cs="Times New Roman"/>
          <w:sz w:val="36"/>
          <w:szCs w:val="36"/>
          <w:u w:val="none"/>
        </w:rPr>
        <w:t>工业和信息化部国际经济技术合作中心</w:t>
      </w:r>
    </w:p>
    <w:p w14:paraId="1A32370A">
      <w:pPr>
        <w:spacing w:line="240" w:lineRule="auto"/>
        <w:ind w:firstLine="0" w:firstLineChars="0"/>
        <w:jc w:val="center"/>
        <w:rPr>
          <w:rFonts w:eastAsia="方正小标宋简体" w:cs="Times New Roman"/>
          <w:sz w:val="36"/>
          <w:szCs w:val="36"/>
          <w:u w:val="none"/>
        </w:rPr>
      </w:pPr>
      <w:r>
        <w:rPr>
          <w:rFonts w:hint="eastAsia" w:eastAsia="方正小标宋简体" w:cs="Times New Roman"/>
          <w:sz w:val="36"/>
          <w:szCs w:val="36"/>
          <w:u w:val="none"/>
          <w:lang w:val="en-US" w:eastAsia="zh-CN"/>
        </w:rPr>
        <w:t>2025年度</w:t>
      </w:r>
      <w:r>
        <w:rPr>
          <w:rFonts w:hint="eastAsia" w:eastAsia="方正小标宋简体" w:cs="Times New Roman"/>
          <w:sz w:val="36"/>
          <w:szCs w:val="36"/>
          <w:u w:val="none"/>
        </w:rPr>
        <w:t>工业设计</w:t>
      </w:r>
      <w:r>
        <w:rPr>
          <w:rFonts w:hint="eastAsia" w:eastAsia="方正小标宋简体" w:cs="Times New Roman"/>
          <w:sz w:val="36"/>
          <w:szCs w:val="36"/>
          <w:u w:val="none"/>
          <w:lang w:val="en-US" w:eastAsia="zh-CN"/>
        </w:rPr>
        <w:t>领域重点</w:t>
      </w:r>
      <w:r>
        <w:rPr>
          <w:rFonts w:hint="eastAsia" w:eastAsia="方正小标宋简体" w:cs="Times New Roman"/>
          <w:sz w:val="36"/>
          <w:szCs w:val="36"/>
          <w:u w:val="none"/>
        </w:rPr>
        <w:t>课题选题列表</w:t>
      </w:r>
    </w:p>
    <w:tbl>
      <w:tblPr>
        <w:tblStyle w:val="7"/>
        <w:tblW w:w="14027"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85"/>
        <w:gridCol w:w="9886"/>
        <w:gridCol w:w="1656"/>
      </w:tblGrid>
      <w:tr w14:paraId="263A1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3" w:type="dxa"/>
            <w:vAlign w:val="center"/>
          </w:tcPr>
          <w:p w14:paraId="13764424">
            <w:pPr>
              <w:ind w:firstLine="0" w:firstLineChars="0"/>
              <w:jc w:val="center"/>
              <w:rPr>
                <w:rFonts w:hint="default" w:ascii="Times New Roman" w:hAnsi="Times New Roman" w:eastAsia="黑体" w:cs="Times New Roman"/>
                <w:kern w:val="0"/>
                <w:sz w:val="32"/>
                <w:szCs w:val="32"/>
                <w:u w:val="none"/>
              </w:rPr>
            </w:pPr>
            <w:r>
              <w:rPr>
                <w:rFonts w:hint="default" w:ascii="Times New Roman" w:hAnsi="Times New Roman" w:eastAsia="黑体" w:cs="Times New Roman"/>
                <w:kern w:val="0"/>
                <w:sz w:val="32"/>
                <w:szCs w:val="32"/>
                <w:u w:val="none"/>
              </w:rPr>
              <w:t>选题</w:t>
            </w:r>
          </w:p>
        </w:tc>
        <w:tc>
          <w:tcPr>
            <w:tcW w:w="10038" w:type="dxa"/>
            <w:vAlign w:val="center"/>
          </w:tcPr>
          <w:p w14:paraId="3B20D3D3">
            <w:pPr>
              <w:ind w:firstLine="0" w:firstLineChars="0"/>
              <w:jc w:val="center"/>
              <w:rPr>
                <w:rFonts w:hint="default" w:ascii="Times New Roman" w:hAnsi="Times New Roman" w:eastAsia="黑体" w:cs="Times New Roman"/>
                <w:kern w:val="0"/>
                <w:sz w:val="32"/>
                <w:szCs w:val="32"/>
                <w:u w:val="none"/>
              </w:rPr>
            </w:pPr>
            <w:r>
              <w:rPr>
                <w:rFonts w:hint="default" w:ascii="Times New Roman" w:hAnsi="Times New Roman" w:eastAsia="黑体" w:cs="Times New Roman"/>
                <w:kern w:val="0"/>
                <w:sz w:val="32"/>
                <w:szCs w:val="32"/>
                <w:u w:val="none"/>
              </w:rPr>
              <w:t>摘要</w:t>
            </w:r>
          </w:p>
        </w:tc>
        <w:tc>
          <w:tcPr>
            <w:tcW w:w="1476" w:type="dxa"/>
            <w:vAlign w:val="center"/>
          </w:tcPr>
          <w:p w14:paraId="756B08B6">
            <w:pPr>
              <w:ind w:firstLine="0" w:firstLineChars="0"/>
              <w:jc w:val="center"/>
              <w:rPr>
                <w:rFonts w:hint="default" w:ascii="Times New Roman" w:hAnsi="Times New Roman" w:eastAsia="黑体" w:cs="Times New Roman"/>
                <w:kern w:val="0"/>
                <w:sz w:val="32"/>
                <w:szCs w:val="32"/>
                <w:u w:val="none"/>
              </w:rPr>
            </w:pPr>
            <w:r>
              <w:rPr>
                <w:rFonts w:hint="default" w:ascii="Times New Roman" w:hAnsi="Times New Roman" w:eastAsia="黑体" w:cs="Times New Roman"/>
                <w:kern w:val="0"/>
                <w:sz w:val="32"/>
                <w:szCs w:val="32"/>
                <w:u w:val="none"/>
              </w:rPr>
              <w:t>结题时间</w:t>
            </w:r>
          </w:p>
        </w:tc>
      </w:tr>
      <w:tr w14:paraId="12C1C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6" w:hRule="atLeast"/>
        </w:trPr>
        <w:tc>
          <w:tcPr>
            <w:tcW w:w="14027" w:type="dxa"/>
            <w:gridSpan w:val="3"/>
            <w:vAlign w:val="center"/>
          </w:tcPr>
          <w:p w14:paraId="1E948E32">
            <w:pPr>
              <w:ind w:firstLine="0" w:firstLineChars="0"/>
              <w:jc w:val="center"/>
              <w:rPr>
                <w:rFonts w:hint="default" w:ascii="Times New Roman" w:hAnsi="Times New Roman" w:eastAsia="黑体" w:cs="Times New Roman"/>
                <w:kern w:val="0"/>
                <w:sz w:val="32"/>
                <w:szCs w:val="32"/>
                <w:u w:val="none"/>
              </w:rPr>
            </w:pPr>
            <w:r>
              <w:rPr>
                <w:rFonts w:hint="default" w:ascii="Times New Roman" w:hAnsi="Times New Roman" w:eastAsia="黑体" w:cs="Times New Roman"/>
                <w:kern w:val="0"/>
                <w:sz w:val="32"/>
                <w:szCs w:val="32"/>
                <w:u w:val="none"/>
              </w:rPr>
              <w:t>研究方向一</w:t>
            </w:r>
          </w:p>
          <w:p w14:paraId="441FCB29">
            <w:pPr>
              <w:ind w:firstLine="0" w:firstLineChars="0"/>
              <w:jc w:val="center"/>
              <w:rPr>
                <w:rFonts w:hint="default" w:ascii="Times New Roman" w:hAnsi="Times New Roman" w:eastAsia="仿宋_GB2312" w:cs="Times New Roman"/>
                <w:kern w:val="0"/>
                <w:sz w:val="32"/>
                <w:szCs w:val="32"/>
                <w:u w:val="none"/>
              </w:rPr>
            </w:pPr>
            <w:r>
              <w:rPr>
                <w:rFonts w:hint="default" w:ascii="Times New Roman" w:hAnsi="Times New Roman" w:eastAsia="黑体" w:cs="Times New Roman"/>
                <w:kern w:val="0"/>
                <w:sz w:val="32"/>
                <w:szCs w:val="32"/>
                <w:u w:val="none"/>
              </w:rPr>
              <w:t>我国工业设计产业国际化发展战略研究</w:t>
            </w:r>
          </w:p>
        </w:tc>
      </w:tr>
      <w:tr w14:paraId="65A28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3" w:type="dxa"/>
            <w:vAlign w:val="center"/>
          </w:tcPr>
          <w:p w14:paraId="2F75D181">
            <w:pPr>
              <w:spacing w:line="520" w:lineRule="exact"/>
              <w:ind w:firstLine="0" w:firstLineChars="0"/>
              <w:rPr>
                <w:rFonts w:hint="default" w:ascii="Times New Roman" w:hAnsi="Times New Roman" w:eastAsia="仿宋_GB2312" w:cs="Times New Roman"/>
                <w:b/>
                <w:bCs/>
                <w:kern w:val="0"/>
                <w:sz w:val="32"/>
                <w:szCs w:val="32"/>
                <w:u w:val="none"/>
              </w:rPr>
            </w:pPr>
            <w:r>
              <w:rPr>
                <w:rFonts w:hint="default" w:ascii="Times New Roman" w:hAnsi="Times New Roman" w:eastAsia="楷体_GB2312" w:cs="Times New Roman"/>
                <w:b/>
                <w:bCs/>
                <w:kern w:val="0"/>
                <w:sz w:val="32"/>
                <w:szCs w:val="32"/>
                <w:u w:val="none"/>
              </w:rPr>
              <w:t>1. 工业设计国际化政策支持体系与协同机制研究</w:t>
            </w:r>
          </w:p>
        </w:tc>
        <w:tc>
          <w:tcPr>
            <w:tcW w:w="10038" w:type="dxa"/>
            <w:vAlign w:val="center"/>
          </w:tcPr>
          <w:p w14:paraId="55F2FB55">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聚焦工业设计出海的政策环境优化，系统研究海外孵化平台建设、国际认证支持等政策工具的实施效能与协同机制。通过对比分析国内外案例，提出政策创新方向及配套措施，旨在构建覆盖企业出海全周期的政策支持框架，为政府部门完善工业设计国际化顶层设计提供决策参考，助力企业降低出海成本、提升国际竞争力。</w:t>
            </w:r>
          </w:p>
        </w:tc>
        <w:tc>
          <w:tcPr>
            <w:tcW w:w="1476" w:type="dxa"/>
            <w:vAlign w:val="center"/>
          </w:tcPr>
          <w:p w14:paraId="65A0D1EE">
            <w:pPr>
              <w:spacing w:line="520" w:lineRule="exact"/>
              <w:ind w:firstLine="0" w:firstLineChars="0"/>
              <w:jc w:val="center"/>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2025.</w:t>
            </w:r>
            <w:r>
              <w:rPr>
                <w:rFonts w:hint="default" w:ascii="Times New Roman" w:hAnsi="Times New Roman" w:eastAsia="仿宋_GB2312" w:cs="Times New Roman"/>
                <w:kern w:val="0"/>
                <w:sz w:val="32"/>
                <w:szCs w:val="32"/>
                <w:u w:val="none"/>
                <w:lang w:val="en-US" w:eastAsia="zh-CN"/>
              </w:rPr>
              <w:t>10</w:t>
            </w:r>
            <w:r>
              <w:rPr>
                <w:rFonts w:hint="default" w:ascii="Times New Roman" w:hAnsi="Times New Roman" w:eastAsia="仿宋_GB2312" w:cs="Times New Roman"/>
                <w:kern w:val="0"/>
                <w:sz w:val="32"/>
                <w:szCs w:val="32"/>
                <w:u w:val="none"/>
              </w:rPr>
              <w:t>.15</w:t>
            </w:r>
          </w:p>
        </w:tc>
      </w:tr>
      <w:tr w14:paraId="3892B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3" w:type="dxa"/>
            <w:vAlign w:val="center"/>
          </w:tcPr>
          <w:p w14:paraId="26260E86">
            <w:pPr>
              <w:spacing w:line="520" w:lineRule="exact"/>
              <w:ind w:firstLine="0" w:firstLineChars="0"/>
              <w:rPr>
                <w:rFonts w:hint="default" w:ascii="Times New Roman" w:hAnsi="Times New Roman" w:eastAsia="仿宋_GB2312" w:cs="Times New Roman"/>
                <w:b/>
                <w:bCs/>
                <w:kern w:val="0"/>
                <w:sz w:val="32"/>
                <w:szCs w:val="32"/>
                <w:u w:val="none"/>
              </w:rPr>
            </w:pPr>
            <w:r>
              <w:rPr>
                <w:rFonts w:hint="default" w:ascii="Times New Roman" w:hAnsi="Times New Roman" w:eastAsia="仿宋_GB2312" w:cs="Times New Roman"/>
                <w:b/>
                <w:bCs/>
                <w:kern w:val="0"/>
                <w:sz w:val="32"/>
                <w:szCs w:val="32"/>
                <w:u w:val="none"/>
              </w:rPr>
              <w:t>2. 工业设计出海路径创新与区域市场适配策略研究</w:t>
            </w:r>
          </w:p>
        </w:tc>
        <w:tc>
          <w:tcPr>
            <w:tcW w:w="10038" w:type="dxa"/>
            <w:vAlign w:val="center"/>
          </w:tcPr>
          <w:p w14:paraId="1D07E93F">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聚焦东南亚、中东、非洲等新兴市场及欧洲、美洲等成熟市场，研究工业设计企业出海模式（如技术输出、合资共建、本地化生产）的可行性及风险。结合区域文化特征、产业基础与用户需求，提出差异化市场进入策略，形成可复制的“一国一策”适配方案，为企业优化全球布局、规避贸易壁垒提供实践指南。</w:t>
            </w:r>
          </w:p>
        </w:tc>
        <w:tc>
          <w:tcPr>
            <w:tcW w:w="1476" w:type="dxa"/>
            <w:vAlign w:val="center"/>
          </w:tcPr>
          <w:p w14:paraId="538BE310">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2025.</w:t>
            </w:r>
            <w:r>
              <w:rPr>
                <w:rFonts w:hint="default" w:ascii="Times New Roman" w:hAnsi="Times New Roman" w:eastAsia="仿宋_GB2312" w:cs="Times New Roman"/>
                <w:kern w:val="0"/>
                <w:sz w:val="32"/>
                <w:szCs w:val="32"/>
                <w:u w:val="none"/>
                <w:lang w:val="en-US" w:eastAsia="zh-CN"/>
              </w:rPr>
              <w:t>10</w:t>
            </w:r>
            <w:r>
              <w:rPr>
                <w:rFonts w:hint="default" w:ascii="Times New Roman" w:hAnsi="Times New Roman" w:eastAsia="仿宋_GB2312" w:cs="Times New Roman"/>
                <w:kern w:val="0"/>
                <w:sz w:val="32"/>
                <w:szCs w:val="32"/>
                <w:u w:val="none"/>
              </w:rPr>
              <w:t>.15</w:t>
            </w:r>
          </w:p>
        </w:tc>
      </w:tr>
      <w:tr w14:paraId="58E23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3" w:type="dxa"/>
            <w:vAlign w:val="center"/>
          </w:tcPr>
          <w:p w14:paraId="6FFA3063">
            <w:pPr>
              <w:spacing w:line="520" w:lineRule="exact"/>
              <w:ind w:firstLine="0" w:firstLineChars="0"/>
              <w:rPr>
                <w:rFonts w:hint="default" w:ascii="Times New Roman" w:hAnsi="Times New Roman" w:eastAsia="仿宋_GB2312" w:cs="Times New Roman"/>
                <w:b/>
                <w:bCs/>
                <w:kern w:val="0"/>
                <w:sz w:val="32"/>
                <w:szCs w:val="32"/>
                <w:u w:val="none"/>
              </w:rPr>
            </w:pPr>
            <w:r>
              <w:rPr>
                <w:rFonts w:hint="default" w:ascii="Times New Roman" w:hAnsi="Times New Roman" w:eastAsia="仿宋_GB2312" w:cs="Times New Roman"/>
                <w:b/>
                <w:bCs/>
                <w:kern w:val="0"/>
                <w:sz w:val="32"/>
                <w:szCs w:val="32"/>
                <w:u w:val="none"/>
              </w:rPr>
              <w:t>3.</w:t>
            </w:r>
            <w:r>
              <w:rPr>
                <w:rFonts w:hint="default" w:ascii="Times New Roman" w:hAnsi="Times New Roman" w:eastAsia="仿宋_GB2312" w:cs="Times New Roman"/>
                <w:kern w:val="0"/>
                <w:sz w:val="32"/>
                <w:szCs w:val="32"/>
                <w:u w:val="none"/>
              </w:rPr>
              <w:t xml:space="preserve"> </w:t>
            </w:r>
            <w:r>
              <w:rPr>
                <w:rFonts w:hint="default" w:ascii="Times New Roman" w:hAnsi="Times New Roman" w:eastAsia="仿宋_GB2312" w:cs="Times New Roman"/>
                <w:b/>
                <w:bCs/>
                <w:kern w:val="0"/>
                <w:sz w:val="32"/>
                <w:szCs w:val="32"/>
                <w:u w:val="none"/>
              </w:rPr>
              <w:t>工业设计国际品牌建设与影响力提升路径研究</w:t>
            </w:r>
          </w:p>
        </w:tc>
        <w:tc>
          <w:tcPr>
            <w:tcW w:w="10038" w:type="dxa"/>
            <w:vAlign w:val="center"/>
          </w:tcPr>
          <w:p w14:paraId="6C1F47F7">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围绕品牌全球化战略，研究中国工业设计品牌的国际形象塑造、传播渠道创新及用户认知提升路径。通过分析国际头部设计品牌案例，提炼品牌价值提炼、跨界合作、数字营销等关键策略，为打造具有国际辨识度的中国设计品牌提供方法论支持，提升“中国设计”国际影响力。</w:t>
            </w:r>
          </w:p>
        </w:tc>
        <w:tc>
          <w:tcPr>
            <w:tcW w:w="1476" w:type="dxa"/>
            <w:vAlign w:val="center"/>
          </w:tcPr>
          <w:p w14:paraId="0718AE45">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2025.</w:t>
            </w:r>
            <w:r>
              <w:rPr>
                <w:rFonts w:hint="default" w:ascii="Times New Roman" w:hAnsi="Times New Roman" w:eastAsia="仿宋_GB2312" w:cs="Times New Roman"/>
                <w:kern w:val="0"/>
                <w:sz w:val="32"/>
                <w:szCs w:val="32"/>
                <w:u w:val="none"/>
                <w:lang w:val="en-US" w:eastAsia="zh-CN"/>
              </w:rPr>
              <w:t>10</w:t>
            </w:r>
            <w:r>
              <w:rPr>
                <w:rFonts w:hint="default" w:ascii="Times New Roman" w:hAnsi="Times New Roman" w:eastAsia="仿宋_GB2312" w:cs="Times New Roman"/>
                <w:kern w:val="0"/>
                <w:sz w:val="32"/>
                <w:szCs w:val="32"/>
                <w:u w:val="none"/>
              </w:rPr>
              <w:t>.15</w:t>
            </w:r>
          </w:p>
        </w:tc>
      </w:tr>
      <w:tr w14:paraId="3536D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3" w:type="dxa"/>
            <w:vAlign w:val="center"/>
          </w:tcPr>
          <w:p w14:paraId="787D0111">
            <w:pPr>
              <w:spacing w:line="520" w:lineRule="exact"/>
              <w:ind w:firstLine="0" w:firstLineChars="0"/>
              <w:rPr>
                <w:rFonts w:hint="default" w:ascii="Times New Roman" w:hAnsi="Times New Roman" w:eastAsia="仿宋_GB2312" w:cs="Times New Roman"/>
                <w:b/>
                <w:bCs/>
                <w:kern w:val="0"/>
                <w:sz w:val="32"/>
                <w:szCs w:val="32"/>
                <w:u w:val="none"/>
              </w:rPr>
            </w:pPr>
            <w:r>
              <w:rPr>
                <w:rFonts w:hint="default" w:ascii="Times New Roman" w:hAnsi="Times New Roman" w:eastAsia="仿宋_GB2312" w:cs="Times New Roman"/>
                <w:b/>
                <w:bCs/>
                <w:kern w:val="0"/>
                <w:sz w:val="32"/>
                <w:szCs w:val="32"/>
                <w:u w:val="none"/>
              </w:rPr>
              <w:t>4.</w:t>
            </w:r>
            <w:r>
              <w:rPr>
                <w:rFonts w:hint="default" w:ascii="Times New Roman" w:hAnsi="Times New Roman" w:eastAsia="仿宋_GB2312" w:cs="Times New Roman"/>
                <w:kern w:val="0"/>
                <w:sz w:val="32"/>
                <w:szCs w:val="32"/>
                <w:u w:val="none"/>
              </w:rPr>
              <w:t xml:space="preserve"> </w:t>
            </w:r>
            <w:r>
              <w:rPr>
                <w:rFonts w:hint="default" w:ascii="Times New Roman" w:hAnsi="Times New Roman" w:eastAsia="仿宋_GB2312" w:cs="Times New Roman"/>
                <w:b/>
                <w:bCs/>
                <w:kern w:val="0"/>
                <w:sz w:val="32"/>
                <w:szCs w:val="32"/>
                <w:u w:val="none"/>
              </w:rPr>
              <w:t>工业设计标准互认与协同认证体系构建研究</w:t>
            </w:r>
          </w:p>
        </w:tc>
        <w:tc>
          <w:tcPr>
            <w:tcW w:w="10038" w:type="dxa"/>
            <w:vAlign w:val="center"/>
          </w:tcPr>
          <w:p w14:paraId="6E9ECFC0">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立足</w:t>
            </w:r>
            <w:r>
              <w:rPr>
                <w:rFonts w:hint="default" w:ascii="Times New Roman" w:hAnsi="Times New Roman" w:eastAsia="仿宋_GB2312" w:cs="Times New Roman"/>
                <w:kern w:val="0"/>
                <w:sz w:val="32"/>
                <w:szCs w:val="32"/>
                <w:u w:val="none"/>
                <w:lang w:val="en-US" w:eastAsia="zh-CN"/>
              </w:rPr>
              <w:t>工业和信息化部多双边及区域合作机制</w:t>
            </w:r>
            <w:r>
              <w:rPr>
                <w:rFonts w:hint="default" w:ascii="Times New Roman" w:hAnsi="Times New Roman" w:eastAsia="仿宋_GB2312" w:cs="Times New Roman"/>
                <w:kern w:val="0"/>
                <w:sz w:val="32"/>
                <w:szCs w:val="32"/>
                <w:u w:val="none"/>
              </w:rPr>
              <w:t>，系统梳理</w:t>
            </w:r>
            <w:r>
              <w:rPr>
                <w:rFonts w:hint="default" w:ascii="Times New Roman" w:hAnsi="Times New Roman" w:eastAsia="仿宋_GB2312" w:cs="Times New Roman"/>
                <w:kern w:val="0"/>
                <w:sz w:val="32"/>
                <w:szCs w:val="32"/>
                <w:u w:val="none"/>
                <w:lang w:val="en-US" w:eastAsia="zh-CN"/>
              </w:rPr>
              <w:t>不同国家及地区</w:t>
            </w:r>
            <w:r>
              <w:rPr>
                <w:rFonts w:hint="default" w:ascii="Times New Roman" w:hAnsi="Times New Roman" w:eastAsia="仿宋_GB2312" w:cs="Times New Roman"/>
                <w:kern w:val="0"/>
                <w:sz w:val="32"/>
                <w:szCs w:val="32"/>
                <w:u w:val="none"/>
              </w:rPr>
              <w:t>工业设计标准差异，探索产品认证、质量评估、知识产权互认的协同机制。研究建立跨国设计标准数据库与联合认证平台的技术路径，提出政策协调建议，推动设计成果跨境流通，降低企业国际化合规成本，增强我国设计产业协同效应。</w:t>
            </w:r>
          </w:p>
        </w:tc>
        <w:tc>
          <w:tcPr>
            <w:tcW w:w="1476" w:type="dxa"/>
            <w:vAlign w:val="center"/>
          </w:tcPr>
          <w:p w14:paraId="5D94EC37">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2025.</w:t>
            </w:r>
            <w:r>
              <w:rPr>
                <w:rFonts w:hint="default" w:ascii="Times New Roman" w:hAnsi="Times New Roman" w:eastAsia="仿宋_GB2312" w:cs="Times New Roman"/>
                <w:kern w:val="0"/>
                <w:sz w:val="32"/>
                <w:szCs w:val="32"/>
                <w:u w:val="none"/>
                <w:lang w:val="en-US" w:eastAsia="zh-CN"/>
              </w:rPr>
              <w:t>10</w:t>
            </w:r>
            <w:r>
              <w:rPr>
                <w:rFonts w:hint="default" w:ascii="Times New Roman" w:hAnsi="Times New Roman" w:eastAsia="仿宋_GB2312" w:cs="Times New Roman"/>
                <w:kern w:val="0"/>
                <w:sz w:val="32"/>
                <w:szCs w:val="32"/>
                <w:u w:val="none"/>
              </w:rPr>
              <w:t>.15</w:t>
            </w:r>
          </w:p>
        </w:tc>
      </w:tr>
      <w:tr w14:paraId="03AA0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13" w:type="dxa"/>
            <w:vAlign w:val="center"/>
          </w:tcPr>
          <w:p w14:paraId="12E4B6EA">
            <w:pPr>
              <w:spacing w:line="520" w:lineRule="exact"/>
              <w:ind w:firstLine="0" w:firstLineChars="0"/>
              <w:rPr>
                <w:rFonts w:hint="default" w:ascii="Times New Roman" w:hAnsi="Times New Roman" w:eastAsia="仿宋_GB2312" w:cs="Times New Roman"/>
                <w:b/>
                <w:bCs/>
                <w:kern w:val="0"/>
                <w:sz w:val="32"/>
                <w:szCs w:val="32"/>
                <w:u w:val="none"/>
              </w:rPr>
            </w:pPr>
            <w:r>
              <w:rPr>
                <w:rFonts w:hint="default" w:ascii="Times New Roman" w:hAnsi="Times New Roman" w:eastAsia="仿宋_GB2312" w:cs="Times New Roman"/>
                <w:b/>
                <w:bCs/>
                <w:kern w:val="0"/>
                <w:sz w:val="32"/>
                <w:szCs w:val="32"/>
                <w:u w:val="none"/>
              </w:rPr>
              <w:t>5.</w:t>
            </w:r>
            <w:r>
              <w:rPr>
                <w:rFonts w:hint="default" w:ascii="Times New Roman" w:hAnsi="Times New Roman" w:eastAsia="仿宋_GB2312" w:cs="Times New Roman"/>
                <w:kern w:val="0"/>
                <w:sz w:val="32"/>
                <w:szCs w:val="32"/>
                <w:u w:val="none"/>
              </w:rPr>
              <w:t xml:space="preserve"> </w:t>
            </w:r>
            <w:r>
              <w:rPr>
                <w:rFonts w:hint="default" w:ascii="Times New Roman" w:hAnsi="Times New Roman" w:eastAsia="仿宋_GB2312" w:cs="Times New Roman"/>
                <w:b/>
                <w:bCs/>
                <w:kern w:val="0"/>
                <w:sz w:val="32"/>
                <w:szCs w:val="32"/>
                <w:u w:val="none"/>
              </w:rPr>
              <w:t>工业设计</w:t>
            </w:r>
            <w:r>
              <w:rPr>
                <w:rFonts w:hint="default" w:ascii="Times New Roman" w:hAnsi="Times New Roman" w:eastAsia="仿宋_GB2312" w:cs="Times New Roman"/>
                <w:b/>
                <w:bCs/>
                <w:kern w:val="0"/>
                <w:sz w:val="32"/>
                <w:szCs w:val="32"/>
                <w:u w:val="none"/>
                <w:lang w:val="en-US" w:eastAsia="zh-CN"/>
              </w:rPr>
              <w:t>在</w:t>
            </w:r>
            <w:r>
              <w:rPr>
                <w:rFonts w:hint="default" w:ascii="Times New Roman" w:hAnsi="Times New Roman" w:eastAsia="仿宋_GB2312" w:cs="Times New Roman"/>
                <w:b/>
                <w:bCs/>
                <w:kern w:val="0"/>
                <w:sz w:val="32"/>
                <w:szCs w:val="32"/>
                <w:u w:val="none"/>
              </w:rPr>
              <w:t>地化创新与文化适配机制研究</w:t>
            </w:r>
          </w:p>
        </w:tc>
        <w:tc>
          <w:tcPr>
            <w:tcW w:w="10038" w:type="dxa"/>
            <w:vAlign w:val="center"/>
          </w:tcPr>
          <w:p w14:paraId="6B49DFC9">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聚焦跨文化设计创新，研究目标市场的社会文化、消费习惯与审美偏好对工业设计的影响机制。通过构建“文化符号-功能需求-设计语言”转化模型，提出</w:t>
            </w:r>
            <w:r>
              <w:rPr>
                <w:rFonts w:hint="default" w:ascii="Times New Roman" w:hAnsi="Times New Roman" w:eastAsia="仿宋_GB2312" w:cs="Times New Roman"/>
                <w:kern w:val="0"/>
                <w:sz w:val="32"/>
                <w:szCs w:val="32"/>
                <w:u w:val="none"/>
                <w:lang w:val="en-US" w:eastAsia="zh-CN"/>
              </w:rPr>
              <w:t>在</w:t>
            </w:r>
            <w:r>
              <w:rPr>
                <w:rFonts w:hint="default" w:ascii="Times New Roman" w:hAnsi="Times New Roman" w:eastAsia="仿宋_GB2312" w:cs="Times New Roman"/>
                <w:kern w:val="0"/>
                <w:sz w:val="32"/>
                <w:szCs w:val="32"/>
                <w:u w:val="none"/>
              </w:rPr>
              <w:t>地化产品设计原则与方法，为企业开发符合区域市场需求的产品提供理论支撑，提升中国设计的国际接受度与商业转化效率。</w:t>
            </w:r>
          </w:p>
        </w:tc>
        <w:tc>
          <w:tcPr>
            <w:tcW w:w="1476" w:type="dxa"/>
            <w:vAlign w:val="center"/>
          </w:tcPr>
          <w:p w14:paraId="0C1B0561">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2025.</w:t>
            </w:r>
            <w:r>
              <w:rPr>
                <w:rFonts w:hint="default" w:ascii="Times New Roman" w:hAnsi="Times New Roman" w:eastAsia="仿宋_GB2312" w:cs="Times New Roman"/>
                <w:kern w:val="0"/>
                <w:sz w:val="32"/>
                <w:szCs w:val="32"/>
                <w:u w:val="none"/>
                <w:lang w:val="en-US" w:eastAsia="zh-CN"/>
              </w:rPr>
              <w:t>10</w:t>
            </w:r>
            <w:r>
              <w:rPr>
                <w:rFonts w:hint="default" w:ascii="Times New Roman" w:hAnsi="Times New Roman" w:eastAsia="仿宋_GB2312" w:cs="Times New Roman"/>
                <w:kern w:val="0"/>
                <w:sz w:val="32"/>
                <w:szCs w:val="32"/>
                <w:u w:val="none"/>
              </w:rPr>
              <w:t>.15</w:t>
            </w:r>
          </w:p>
        </w:tc>
      </w:tr>
      <w:tr w14:paraId="66D18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13" w:type="dxa"/>
            <w:vAlign w:val="center"/>
          </w:tcPr>
          <w:p w14:paraId="2D0E0077">
            <w:pPr>
              <w:spacing w:line="520" w:lineRule="exact"/>
              <w:ind w:firstLine="0" w:firstLineChars="0"/>
              <w:rPr>
                <w:rFonts w:hint="default" w:ascii="Times New Roman" w:hAnsi="Times New Roman" w:eastAsia="仿宋_GB2312" w:cs="Times New Roman"/>
                <w:b/>
                <w:bCs/>
                <w:kern w:val="0"/>
                <w:sz w:val="32"/>
                <w:szCs w:val="32"/>
                <w:u w:val="none"/>
              </w:rPr>
            </w:pPr>
            <w:r>
              <w:rPr>
                <w:rFonts w:hint="default" w:ascii="Times New Roman" w:hAnsi="Times New Roman" w:eastAsia="仿宋_GB2312" w:cs="Times New Roman"/>
                <w:b/>
                <w:bCs/>
                <w:kern w:val="0"/>
                <w:sz w:val="32"/>
                <w:szCs w:val="32"/>
                <w:u w:val="none"/>
              </w:rPr>
              <w:t>6. 工业设计知识产权跨境保护与风险防控体系研究</w:t>
            </w:r>
          </w:p>
        </w:tc>
        <w:tc>
          <w:tcPr>
            <w:tcW w:w="10038" w:type="dxa"/>
            <w:vAlign w:val="center"/>
          </w:tcPr>
          <w:p w14:paraId="0D34A46F">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针对国际化进程中的知识产权纠纷与法律风险，研究国际设计专利布局、版权跨境维权、商业秘密保护等关键问题。通过分析典型案例与司法实践差异，提出企业知识产权保护策略、政府间协作机制及行业预警平台建设方案，为中国工业设计出海构建安全可控的法律保障体系。</w:t>
            </w:r>
          </w:p>
        </w:tc>
        <w:tc>
          <w:tcPr>
            <w:tcW w:w="1476" w:type="dxa"/>
            <w:vAlign w:val="center"/>
          </w:tcPr>
          <w:p w14:paraId="3794E993">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2025.</w:t>
            </w:r>
            <w:r>
              <w:rPr>
                <w:rFonts w:hint="default" w:ascii="Times New Roman" w:hAnsi="Times New Roman" w:eastAsia="仿宋_GB2312" w:cs="Times New Roman"/>
                <w:kern w:val="0"/>
                <w:sz w:val="32"/>
                <w:szCs w:val="32"/>
                <w:u w:val="none"/>
                <w:lang w:val="en-US" w:eastAsia="zh-CN"/>
              </w:rPr>
              <w:t>10</w:t>
            </w:r>
            <w:r>
              <w:rPr>
                <w:rFonts w:hint="default" w:ascii="Times New Roman" w:hAnsi="Times New Roman" w:eastAsia="仿宋_GB2312" w:cs="Times New Roman"/>
                <w:kern w:val="0"/>
                <w:sz w:val="32"/>
                <w:szCs w:val="32"/>
                <w:u w:val="none"/>
              </w:rPr>
              <w:t>.15</w:t>
            </w:r>
          </w:p>
        </w:tc>
      </w:tr>
      <w:tr w14:paraId="2F362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7" w:type="dxa"/>
            <w:gridSpan w:val="3"/>
            <w:vAlign w:val="center"/>
          </w:tcPr>
          <w:p w14:paraId="107C3A29">
            <w:pPr>
              <w:ind w:firstLine="0" w:firstLineChars="0"/>
              <w:jc w:val="center"/>
              <w:rPr>
                <w:rFonts w:hint="default" w:ascii="Times New Roman" w:hAnsi="Times New Roman" w:eastAsia="黑体" w:cs="Times New Roman"/>
                <w:kern w:val="0"/>
                <w:sz w:val="32"/>
                <w:szCs w:val="32"/>
                <w:u w:val="none"/>
              </w:rPr>
            </w:pPr>
            <w:r>
              <w:rPr>
                <w:rFonts w:hint="default" w:ascii="Times New Roman" w:hAnsi="Times New Roman" w:eastAsia="黑体" w:cs="Times New Roman"/>
                <w:kern w:val="0"/>
                <w:sz w:val="32"/>
                <w:szCs w:val="32"/>
                <w:u w:val="none"/>
              </w:rPr>
              <w:t>研究方向二</w:t>
            </w:r>
          </w:p>
          <w:p w14:paraId="08D00400">
            <w:pPr>
              <w:ind w:firstLine="0" w:firstLineChars="0"/>
              <w:jc w:val="center"/>
              <w:rPr>
                <w:rFonts w:hint="default" w:ascii="Times New Roman" w:hAnsi="Times New Roman" w:eastAsia="仿宋_GB2312" w:cs="Times New Roman"/>
                <w:kern w:val="0"/>
                <w:sz w:val="32"/>
                <w:szCs w:val="32"/>
                <w:u w:val="none"/>
              </w:rPr>
            </w:pPr>
            <w:r>
              <w:rPr>
                <w:rFonts w:hint="default" w:ascii="Times New Roman" w:hAnsi="Times New Roman" w:eastAsia="黑体" w:cs="Times New Roman"/>
                <w:kern w:val="0"/>
                <w:sz w:val="32"/>
                <w:szCs w:val="32"/>
                <w:u w:val="none"/>
              </w:rPr>
              <w:t>金砖国家工业设计产业发展与政策体系研究</w:t>
            </w:r>
          </w:p>
        </w:tc>
      </w:tr>
      <w:tr w14:paraId="5A251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3" w:type="dxa"/>
            <w:vAlign w:val="center"/>
          </w:tcPr>
          <w:p w14:paraId="4B0E2B12">
            <w:pPr>
              <w:spacing w:line="520" w:lineRule="exact"/>
              <w:ind w:firstLine="0" w:firstLineChars="0"/>
              <w:rPr>
                <w:rFonts w:hint="default" w:ascii="Times New Roman" w:hAnsi="Times New Roman" w:eastAsia="仿宋_GB2312" w:cs="Times New Roman"/>
                <w:b/>
                <w:bCs/>
                <w:kern w:val="0"/>
                <w:sz w:val="32"/>
                <w:szCs w:val="32"/>
                <w:u w:val="none"/>
              </w:rPr>
            </w:pPr>
            <w:r>
              <w:rPr>
                <w:rFonts w:hint="default" w:ascii="Times New Roman" w:hAnsi="Times New Roman" w:eastAsia="仿宋_GB2312" w:cs="Times New Roman"/>
                <w:b/>
                <w:bCs/>
                <w:kern w:val="0"/>
                <w:sz w:val="32"/>
                <w:szCs w:val="32"/>
                <w:u w:val="none"/>
              </w:rPr>
              <w:t>7. 金砖国家工业设计发展历程、政策体系和现状分析</w:t>
            </w:r>
          </w:p>
        </w:tc>
        <w:tc>
          <w:tcPr>
            <w:tcW w:w="10038" w:type="dxa"/>
            <w:vAlign w:val="center"/>
          </w:tcPr>
          <w:p w14:paraId="79972CCC">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聚焦金砖国家工业设计发展历程的阶段划分，分析金砖国家及其各成员国的工业设计产业规模、发展水平、核心技术、创新能力、人才培养和国际合作等产业发展现状与产业发展特点。指明金砖国家及其各成员国的工业设计发展的历史脉络和政策环境、经济环境、社会环境与技术环境，为金砖国家工业设计政策制定、产业发展和国际合作提供依据，推动金砖国家工业设计产业的创新发展和国际竞争力的提升。</w:t>
            </w:r>
          </w:p>
        </w:tc>
        <w:tc>
          <w:tcPr>
            <w:tcW w:w="1476" w:type="dxa"/>
            <w:vAlign w:val="center"/>
          </w:tcPr>
          <w:p w14:paraId="379E9774">
            <w:pPr>
              <w:spacing w:line="520" w:lineRule="exact"/>
              <w:ind w:firstLine="0" w:firstLineChars="0"/>
              <w:rPr>
                <w:rFonts w:hint="default" w:ascii="Times New Roman" w:hAnsi="Times New Roman" w:eastAsia="仿宋_GB2312" w:cs="Times New Roman"/>
                <w:kern w:val="0"/>
                <w:sz w:val="32"/>
                <w:szCs w:val="32"/>
                <w:u w:val="none"/>
                <w:lang w:val="en-US" w:eastAsia="zh-CN"/>
              </w:rPr>
            </w:pPr>
            <w:r>
              <w:rPr>
                <w:rFonts w:hint="default" w:ascii="Times New Roman" w:hAnsi="Times New Roman" w:eastAsia="仿宋_GB2312" w:cs="Times New Roman"/>
                <w:kern w:val="0"/>
                <w:sz w:val="32"/>
                <w:szCs w:val="32"/>
                <w:u w:val="none"/>
              </w:rPr>
              <w:t>2025.</w:t>
            </w:r>
            <w:r>
              <w:rPr>
                <w:rFonts w:hint="default" w:ascii="Times New Roman" w:hAnsi="Times New Roman" w:eastAsia="仿宋_GB2312" w:cs="Times New Roman"/>
                <w:kern w:val="0"/>
                <w:sz w:val="32"/>
                <w:szCs w:val="32"/>
                <w:u w:val="none"/>
                <w:lang w:val="en-US" w:eastAsia="zh-CN"/>
              </w:rPr>
              <w:t>7</w:t>
            </w:r>
            <w:r>
              <w:rPr>
                <w:rFonts w:hint="default" w:ascii="Times New Roman" w:hAnsi="Times New Roman" w:eastAsia="仿宋_GB2312" w:cs="Times New Roman"/>
                <w:kern w:val="0"/>
                <w:sz w:val="32"/>
                <w:szCs w:val="32"/>
                <w:u w:val="none"/>
              </w:rPr>
              <w:t>.</w:t>
            </w:r>
            <w:r>
              <w:rPr>
                <w:rFonts w:hint="default" w:ascii="Times New Roman" w:hAnsi="Times New Roman" w:eastAsia="仿宋_GB2312" w:cs="Times New Roman"/>
                <w:kern w:val="0"/>
                <w:sz w:val="32"/>
                <w:szCs w:val="32"/>
                <w:u w:val="none"/>
                <w:lang w:val="en-US" w:eastAsia="zh-CN"/>
              </w:rPr>
              <w:t>30</w:t>
            </w:r>
          </w:p>
        </w:tc>
      </w:tr>
      <w:tr w14:paraId="5D652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3" w:type="dxa"/>
            <w:vAlign w:val="center"/>
          </w:tcPr>
          <w:p w14:paraId="5BA4B037">
            <w:pPr>
              <w:spacing w:line="520" w:lineRule="exact"/>
              <w:ind w:firstLine="0" w:firstLineChars="0"/>
              <w:rPr>
                <w:rFonts w:hint="default" w:ascii="Times New Roman" w:hAnsi="Times New Roman" w:eastAsia="仿宋_GB2312" w:cs="Times New Roman"/>
                <w:b/>
                <w:bCs/>
                <w:kern w:val="0"/>
                <w:sz w:val="32"/>
                <w:szCs w:val="32"/>
                <w:u w:val="none"/>
              </w:rPr>
            </w:pPr>
            <w:r>
              <w:rPr>
                <w:rFonts w:hint="default" w:ascii="Times New Roman" w:hAnsi="Times New Roman" w:eastAsia="仿宋_GB2312" w:cs="Times New Roman"/>
                <w:b/>
                <w:bCs/>
                <w:kern w:val="0"/>
                <w:sz w:val="32"/>
                <w:szCs w:val="32"/>
                <w:u w:val="none"/>
              </w:rPr>
              <w:t>8. 金砖国家工业设计产业发展机遇与挑战分析</w:t>
            </w:r>
          </w:p>
        </w:tc>
        <w:tc>
          <w:tcPr>
            <w:tcW w:w="10038" w:type="dxa"/>
            <w:vAlign w:val="center"/>
          </w:tcPr>
          <w:p w14:paraId="580925CA">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调查和分析金砖国家及其各成员国的工业设计产业发展趋势与挑战，梳理金砖国家及其各成员国的工业设计产业发展的潜在机遇和发展空间，识别制约工业设计产业发展的因素。基于多国产业基础与政策环境差异，提出“政府-企业-协会”三位一体的协同发展框架，为金砖国家工业设计机制完善和政策制定提供依据，提升金砖国家在全球工业设计领域的影响力。</w:t>
            </w:r>
          </w:p>
        </w:tc>
        <w:tc>
          <w:tcPr>
            <w:tcW w:w="1476" w:type="dxa"/>
            <w:vAlign w:val="center"/>
          </w:tcPr>
          <w:p w14:paraId="71FBA13A">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2025.</w:t>
            </w:r>
            <w:r>
              <w:rPr>
                <w:rFonts w:hint="default" w:ascii="Times New Roman" w:hAnsi="Times New Roman" w:eastAsia="仿宋_GB2312" w:cs="Times New Roman"/>
                <w:kern w:val="0"/>
                <w:sz w:val="32"/>
                <w:szCs w:val="32"/>
                <w:u w:val="none"/>
                <w:lang w:val="en-US" w:eastAsia="zh-CN"/>
              </w:rPr>
              <w:t>7</w:t>
            </w:r>
            <w:r>
              <w:rPr>
                <w:rFonts w:hint="default" w:ascii="Times New Roman" w:hAnsi="Times New Roman" w:eastAsia="仿宋_GB2312" w:cs="Times New Roman"/>
                <w:kern w:val="0"/>
                <w:sz w:val="32"/>
                <w:szCs w:val="32"/>
                <w:u w:val="none"/>
              </w:rPr>
              <w:t>.</w:t>
            </w:r>
            <w:r>
              <w:rPr>
                <w:rFonts w:hint="default" w:ascii="Times New Roman" w:hAnsi="Times New Roman" w:eastAsia="仿宋_GB2312" w:cs="Times New Roman"/>
                <w:kern w:val="0"/>
                <w:sz w:val="32"/>
                <w:szCs w:val="32"/>
                <w:u w:val="none"/>
                <w:lang w:val="en-US" w:eastAsia="zh-CN"/>
              </w:rPr>
              <w:t>30</w:t>
            </w:r>
          </w:p>
        </w:tc>
      </w:tr>
      <w:tr w14:paraId="56E1F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3" w:type="dxa"/>
            <w:vAlign w:val="center"/>
          </w:tcPr>
          <w:p w14:paraId="0DC9C3E3">
            <w:pPr>
              <w:spacing w:line="520" w:lineRule="exact"/>
              <w:ind w:firstLine="0" w:firstLineChars="0"/>
              <w:rPr>
                <w:rFonts w:hint="default" w:ascii="Times New Roman" w:hAnsi="Times New Roman" w:eastAsia="仿宋_GB2312" w:cs="Times New Roman"/>
                <w:b/>
                <w:bCs/>
                <w:kern w:val="0"/>
                <w:sz w:val="32"/>
                <w:szCs w:val="32"/>
                <w:u w:val="none"/>
              </w:rPr>
            </w:pPr>
            <w:r>
              <w:rPr>
                <w:rFonts w:hint="default" w:ascii="Times New Roman" w:hAnsi="Times New Roman" w:eastAsia="仿宋_GB2312" w:cs="Times New Roman"/>
                <w:b/>
                <w:bCs/>
                <w:kern w:val="0"/>
                <w:sz w:val="32"/>
                <w:szCs w:val="32"/>
                <w:u w:val="none"/>
              </w:rPr>
              <w:t>9. 金砖国家工业设计创新能力与人才培养体系研究</w:t>
            </w:r>
          </w:p>
        </w:tc>
        <w:tc>
          <w:tcPr>
            <w:tcW w:w="10038" w:type="dxa"/>
            <w:vAlign w:val="center"/>
          </w:tcPr>
          <w:p w14:paraId="106C929E">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聚焦金砖国家工业设计创新能力的评价指标体系构建，分析金砖国家工业设计创新能力现状，比较分析金砖国家工业设计人才培养体系，研究金砖国家工业设计创新能力与人才培养体系之间的关系，识别金砖国家工业设计人才培养体系的优势和不足，探讨金砖国家工业设计创新能力与人才培养体系之间的相互影响机制，为金砖国家工业设计创新能力提升和人才培养体系完善提供政策建议，促进金砖国家工业设计领域的交流与合作，培养更多具有创新能力的工业设计人才。</w:t>
            </w:r>
          </w:p>
        </w:tc>
        <w:tc>
          <w:tcPr>
            <w:tcW w:w="1476" w:type="dxa"/>
            <w:vAlign w:val="center"/>
          </w:tcPr>
          <w:p w14:paraId="30415EE3">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2025.</w:t>
            </w:r>
            <w:r>
              <w:rPr>
                <w:rFonts w:hint="default" w:ascii="Times New Roman" w:hAnsi="Times New Roman" w:eastAsia="仿宋_GB2312" w:cs="Times New Roman"/>
                <w:kern w:val="0"/>
                <w:sz w:val="32"/>
                <w:szCs w:val="32"/>
                <w:u w:val="none"/>
                <w:lang w:val="en-US" w:eastAsia="zh-CN"/>
              </w:rPr>
              <w:t>7</w:t>
            </w:r>
            <w:r>
              <w:rPr>
                <w:rFonts w:hint="default" w:ascii="Times New Roman" w:hAnsi="Times New Roman" w:eastAsia="仿宋_GB2312" w:cs="Times New Roman"/>
                <w:kern w:val="0"/>
                <w:sz w:val="32"/>
                <w:szCs w:val="32"/>
                <w:u w:val="none"/>
              </w:rPr>
              <w:t>.</w:t>
            </w:r>
            <w:r>
              <w:rPr>
                <w:rFonts w:hint="default" w:ascii="Times New Roman" w:hAnsi="Times New Roman" w:eastAsia="仿宋_GB2312" w:cs="Times New Roman"/>
                <w:kern w:val="0"/>
                <w:sz w:val="32"/>
                <w:szCs w:val="32"/>
                <w:u w:val="none"/>
                <w:lang w:val="en-US" w:eastAsia="zh-CN"/>
              </w:rPr>
              <w:t>30</w:t>
            </w:r>
          </w:p>
        </w:tc>
      </w:tr>
      <w:tr w14:paraId="58BE9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7" w:hRule="atLeast"/>
        </w:trPr>
        <w:tc>
          <w:tcPr>
            <w:tcW w:w="2513" w:type="dxa"/>
            <w:vAlign w:val="center"/>
          </w:tcPr>
          <w:p w14:paraId="3636A83E">
            <w:pPr>
              <w:spacing w:line="520" w:lineRule="exact"/>
              <w:ind w:firstLine="0" w:firstLineChars="0"/>
              <w:rPr>
                <w:rFonts w:hint="default" w:ascii="Times New Roman" w:hAnsi="Times New Roman" w:eastAsia="仿宋_GB2312" w:cs="Times New Roman"/>
                <w:b/>
                <w:bCs/>
                <w:kern w:val="0"/>
                <w:sz w:val="32"/>
                <w:szCs w:val="32"/>
                <w:u w:val="none"/>
              </w:rPr>
            </w:pPr>
            <w:r>
              <w:rPr>
                <w:rFonts w:hint="default" w:ascii="Times New Roman" w:hAnsi="Times New Roman" w:eastAsia="仿宋_GB2312" w:cs="Times New Roman"/>
                <w:b/>
                <w:bCs/>
                <w:kern w:val="0"/>
                <w:sz w:val="32"/>
                <w:szCs w:val="32"/>
                <w:u w:val="none"/>
              </w:rPr>
              <w:t>10.金砖国家工业设计知识产权保护与共享机制研究</w:t>
            </w:r>
          </w:p>
        </w:tc>
        <w:tc>
          <w:tcPr>
            <w:tcW w:w="10038" w:type="dxa"/>
            <w:vAlign w:val="center"/>
          </w:tcPr>
          <w:p w14:paraId="69E13188">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调查和分析金砖国家工业设计知识产权保护现状，分析金砖国家工业设计知识产权保护面临的挑战和问题，提出金砖国家工业设计知识产权共享机制的构建和完善建议，识别制约金砖国家工业设计知识产权保护与共享的因素，探索金砖国家工业设计知识产权保护与共享机制的构建和完善路径，为金砖国家工业设计知识产权保护体系的完善和知识产权共享机制的建立提供理论基础和政策参考，推动金砖国家工业设计产业的健康发展和国际合作的深化。</w:t>
            </w:r>
          </w:p>
        </w:tc>
        <w:tc>
          <w:tcPr>
            <w:tcW w:w="1476" w:type="dxa"/>
            <w:vAlign w:val="center"/>
          </w:tcPr>
          <w:p w14:paraId="7F361488">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2025.</w:t>
            </w:r>
            <w:r>
              <w:rPr>
                <w:rFonts w:hint="default" w:ascii="Times New Roman" w:hAnsi="Times New Roman" w:eastAsia="仿宋_GB2312" w:cs="Times New Roman"/>
                <w:kern w:val="0"/>
                <w:sz w:val="32"/>
                <w:szCs w:val="32"/>
                <w:u w:val="none"/>
                <w:lang w:val="en-US" w:eastAsia="zh-CN"/>
              </w:rPr>
              <w:t>7</w:t>
            </w:r>
            <w:r>
              <w:rPr>
                <w:rFonts w:hint="default" w:ascii="Times New Roman" w:hAnsi="Times New Roman" w:eastAsia="仿宋_GB2312" w:cs="Times New Roman"/>
                <w:kern w:val="0"/>
                <w:sz w:val="32"/>
                <w:szCs w:val="32"/>
                <w:u w:val="none"/>
              </w:rPr>
              <w:t>.</w:t>
            </w:r>
            <w:r>
              <w:rPr>
                <w:rFonts w:hint="default" w:ascii="Times New Roman" w:hAnsi="Times New Roman" w:eastAsia="仿宋_GB2312" w:cs="Times New Roman"/>
                <w:kern w:val="0"/>
                <w:sz w:val="32"/>
                <w:szCs w:val="32"/>
                <w:u w:val="none"/>
                <w:lang w:val="en-US" w:eastAsia="zh-CN"/>
              </w:rPr>
              <w:t>30</w:t>
            </w:r>
          </w:p>
        </w:tc>
      </w:tr>
      <w:tr w14:paraId="525D5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3" w:hRule="atLeast"/>
        </w:trPr>
        <w:tc>
          <w:tcPr>
            <w:tcW w:w="2513" w:type="dxa"/>
            <w:vAlign w:val="center"/>
          </w:tcPr>
          <w:p w14:paraId="22745F8F">
            <w:pPr>
              <w:spacing w:line="520" w:lineRule="exact"/>
              <w:ind w:firstLine="0" w:firstLineChars="0"/>
              <w:rPr>
                <w:rFonts w:hint="default" w:ascii="Times New Roman" w:hAnsi="Times New Roman" w:eastAsia="仿宋_GB2312" w:cs="Times New Roman"/>
                <w:b/>
                <w:bCs/>
                <w:kern w:val="0"/>
                <w:sz w:val="32"/>
                <w:szCs w:val="32"/>
                <w:u w:val="none"/>
              </w:rPr>
            </w:pPr>
            <w:r>
              <w:rPr>
                <w:rFonts w:hint="default" w:ascii="Times New Roman" w:hAnsi="Times New Roman" w:eastAsia="仿宋_GB2312" w:cs="Times New Roman"/>
                <w:b/>
                <w:bCs/>
                <w:kern w:val="0"/>
                <w:sz w:val="32"/>
                <w:szCs w:val="32"/>
                <w:u w:val="none"/>
              </w:rPr>
              <w:t>11.</w:t>
            </w:r>
            <w:r>
              <w:rPr>
                <w:rFonts w:hint="default" w:ascii="Times New Roman" w:hAnsi="Times New Roman" w:eastAsia="仿宋_GB2312" w:cs="Times New Roman"/>
                <w:kern w:val="0"/>
                <w:sz w:val="32"/>
                <w:szCs w:val="32"/>
                <w:u w:val="none"/>
              </w:rPr>
              <w:t xml:space="preserve"> </w:t>
            </w:r>
            <w:r>
              <w:rPr>
                <w:rFonts w:hint="default" w:ascii="Times New Roman" w:hAnsi="Times New Roman" w:eastAsia="仿宋_GB2312" w:cs="Times New Roman"/>
                <w:b/>
                <w:bCs/>
                <w:kern w:val="0"/>
                <w:sz w:val="32"/>
                <w:szCs w:val="32"/>
                <w:u w:val="none"/>
              </w:rPr>
              <w:t>金砖国家工业设计协同创新平台建设与合作模式探索</w:t>
            </w:r>
          </w:p>
        </w:tc>
        <w:tc>
          <w:tcPr>
            <w:tcW w:w="10038" w:type="dxa"/>
            <w:vAlign w:val="center"/>
          </w:tcPr>
          <w:p w14:paraId="6582BDD3">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分析金砖国家工业设计协同创新平台建设的必要性和可行性，探索金砖国家工业设计协同创新平台的建设模式和合作模式，分析确立运行机制和项目实施机制，为金砖国家工业设计协同创新平台的建设提供理论基础和实践指导，促进金砖国家工业设计领域的资源共享和优势互补，提升金砖国家工业设计创新能力和国际竞争力。</w:t>
            </w:r>
          </w:p>
        </w:tc>
        <w:tc>
          <w:tcPr>
            <w:tcW w:w="1476" w:type="dxa"/>
            <w:vAlign w:val="center"/>
          </w:tcPr>
          <w:p w14:paraId="63B92F6D">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2025.</w:t>
            </w:r>
            <w:r>
              <w:rPr>
                <w:rFonts w:hint="default" w:ascii="Times New Roman" w:hAnsi="Times New Roman" w:eastAsia="仿宋_GB2312" w:cs="Times New Roman"/>
                <w:kern w:val="0"/>
                <w:sz w:val="32"/>
                <w:szCs w:val="32"/>
                <w:u w:val="none"/>
                <w:lang w:val="en-US" w:eastAsia="zh-CN"/>
              </w:rPr>
              <w:t>7</w:t>
            </w:r>
            <w:r>
              <w:rPr>
                <w:rFonts w:hint="default" w:ascii="Times New Roman" w:hAnsi="Times New Roman" w:eastAsia="仿宋_GB2312" w:cs="Times New Roman"/>
                <w:kern w:val="0"/>
                <w:sz w:val="32"/>
                <w:szCs w:val="32"/>
                <w:u w:val="none"/>
              </w:rPr>
              <w:t>.</w:t>
            </w:r>
            <w:r>
              <w:rPr>
                <w:rFonts w:hint="default" w:ascii="Times New Roman" w:hAnsi="Times New Roman" w:eastAsia="仿宋_GB2312" w:cs="Times New Roman"/>
                <w:kern w:val="0"/>
                <w:sz w:val="32"/>
                <w:szCs w:val="32"/>
                <w:u w:val="none"/>
                <w:lang w:val="en-US" w:eastAsia="zh-CN"/>
              </w:rPr>
              <w:t>30</w:t>
            </w:r>
          </w:p>
        </w:tc>
      </w:tr>
      <w:tr w14:paraId="168ED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027" w:type="dxa"/>
            <w:gridSpan w:val="3"/>
            <w:vAlign w:val="center"/>
          </w:tcPr>
          <w:p w14:paraId="6214CE77">
            <w:pPr>
              <w:ind w:firstLine="0" w:firstLineChars="0"/>
              <w:jc w:val="center"/>
              <w:rPr>
                <w:rFonts w:hint="default" w:ascii="Times New Roman" w:hAnsi="Times New Roman" w:eastAsia="黑体" w:cs="Times New Roman"/>
                <w:kern w:val="0"/>
                <w:sz w:val="32"/>
                <w:szCs w:val="32"/>
                <w:u w:val="none"/>
              </w:rPr>
            </w:pPr>
            <w:r>
              <w:rPr>
                <w:rFonts w:hint="default" w:ascii="Times New Roman" w:hAnsi="Times New Roman" w:eastAsia="黑体" w:cs="Times New Roman"/>
                <w:kern w:val="0"/>
                <w:sz w:val="32"/>
                <w:szCs w:val="32"/>
                <w:u w:val="none"/>
              </w:rPr>
              <w:t>研究方向三</w:t>
            </w:r>
          </w:p>
          <w:p w14:paraId="534198C6">
            <w:pPr>
              <w:ind w:firstLine="0" w:firstLineChars="0"/>
              <w:jc w:val="center"/>
              <w:rPr>
                <w:rFonts w:hint="default" w:ascii="Times New Roman" w:hAnsi="Times New Roman" w:eastAsia="仿宋_GB2312" w:cs="Times New Roman"/>
                <w:kern w:val="0"/>
                <w:sz w:val="32"/>
                <w:szCs w:val="32"/>
                <w:u w:val="none"/>
              </w:rPr>
            </w:pPr>
            <w:r>
              <w:rPr>
                <w:rFonts w:hint="default" w:ascii="Times New Roman" w:hAnsi="Times New Roman" w:eastAsia="黑体" w:cs="Times New Roman"/>
                <w:kern w:val="0"/>
                <w:sz w:val="32"/>
                <w:szCs w:val="32"/>
                <w:u w:val="none"/>
              </w:rPr>
              <w:t>工业设计驱动区域经济一体化发展路径研究</w:t>
            </w:r>
          </w:p>
        </w:tc>
      </w:tr>
      <w:tr w14:paraId="74082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3" w:type="dxa"/>
            <w:vAlign w:val="center"/>
          </w:tcPr>
          <w:p w14:paraId="00491B41">
            <w:pPr>
              <w:spacing w:line="520" w:lineRule="exact"/>
              <w:ind w:firstLine="0" w:firstLineChars="0"/>
              <w:rPr>
                <w:rFonts w:hint="default" w:ascii="Times New Roman" w:hAnsi="Times New Roman" w:eastAsia="仿宋_GB2312" w:cs="Times New Roman"/>
                <w:b/>
                <w:bCs/>
                <w:kern w:val="0"/>
                <w:sz w:val="32"/>
                <w:szCs w:val="32"/>
                <w:u w:val="none"/>
              </w:rPr>
            </w:pPr>
            <w:r>
              <w:rPr>
                <w:rFonts w:hint="default" w:ascii="Times New Roman" w:hAnsi="Times New Roman" w:eastAsia="仿宋_GB2312" w:cs="Times New Roman"/>
                <w:b/>
                <w:bCs/>
                <w:kern w:val="0"/>
                <w:sz w:val="32"/>
                <w:szCs w:val="32"/>
                <w:u w:val="none"/>
              </w:rPr>
              <w:t>12.</w:t>
            </w:r>
            <w:r>
              <w:rPr>
                <w:rFonts w:hint="default" w:ascii="Times New Roman" w:hAnsi="Times New Roman" w:eastAsia="仿宋_GB2312" w:cs="Times New Roman"/>
                <w:kern w:val="0"/>
                <w:sz w:val="32"/>
                <w:szCs w:val="32"/>
                <w:u w:val="none"/>
              </w:rPr>
              <w:t xml:space="preserve"> </w:t>
            </w:r>
            <w:r>
              <w:rPr>
                <w:rFonts w:hint="default" w:ascii="Times New Roman" w:hAnsi="Times New Roman" w:eastAsia="仿宋_GB2312" w:cs="Times New Roman"/>
                <w:b/>
                <w:bCs/>
                <w:kern w:val="0"/>
                <w:sz w:val="32"/>
                <w:szCs w:val="32"/>
                <w:u w:val="none"/>
              </w:rPr>
              <w:t>粤港澳大湾区工业设计协同创新生态研究</w:t>
            </w:r>
          </w:p>
        </w:tc>
        <w:tc>
          <w:tcPr>
            <w:tcW w:w="10038" w:type="dxa"/>
            <w:vAlign w:val="center"/>
          </w:tcPr>
          <w:p w14:paraId="0FA74A48">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立足粤港澳大湾区产业互补特征，聚焦区域设计资源共享、跨境技术转化、产学研协同等关键问题，研究构建覆盖“</w:t>
            </w:r>
            <w:r>
              <w:rPr>
                <w:rFonts w:hint="default" w:ascii="Times New Roman" w:hAnsi="Times New Roman" w:eastAsia="仿宋_GB2312" w:cs="Times New Roman"/>
                <w:kern w:val="0"/>
                <w:sz w:val="32"/>
                <w:szCs w:val="32"/>
                <w:u w:val="none"/>
                <w:lang w:val="en-US" w:eastAsia="zh-CN"/>
              </w:rPr>
              <w:t>设计-</w:t>
            </w:r>
            <w:r>
              <w:rPr>
                <w:rFonts w:hint="default" w:ascii="Times New Roman" w:hAnsi="Times New Roman" w:eastAsia="仿宋_GB2312" w:cs="Times New Roman"/>
                <w:kern w:val="0"/>
                <w:sz w:val="32"/>
                <w:szCs w:val="32"/>
                <w:u w:val="none"/>
              </w:rPr>
              <w:t>研发-制造-服务”全链条的工业设计创新生态。通过分析大湾区政策协同机制、国际设计资源对接路径，提出湾区设计标准互认、人才流动便利化等政策建议，推动大湾区建成具有全球影响力的工业设计创新高地，助力粤港澳深度融合发展。</w:t>
            </w:r>
          </w:p>
        </w:tc>
        <w:tc>
          <w:tcPr>
            <w:tcW w:w="1476" w:type="dxa"/>
            <w:vAlign w:val="center"/>
          </w:tcPr>
          <w:p w14:paraId="1FD97271">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2025.</w:t>
            </w:r>
            <w:r>
              <w:rPr>
                <w:rFonts w:hint="default" w:ascii="Times New Roman" w:hAnsi="Times New Roman" w:eastAsia="仿宋_GB2312" w:cs="Times New Roman"/>
                <w:kern w:val="0"/>
                <w:sz w:val="32"/>
                <w:szCs w:val="32"/>
                <w:u w:val="none"/>
                <w:lang w:val="en-US" w:eastAsia="zh-CN"/>
              </w:rPr>
              <w:t>10</w:t>
            </w:r>
            <w:r>
              <w:rPr>
                <w:rFonts w:hint="default" w:ascii="Times New Roman" w:hAnsi="Times New Roman" w:eastAsia="仿宋_GB2312" w:cs="Times New Roman"/>
                <w:kern w:val="0"/>
                <w:sz w:val="32"/>
                <w:szCs w:val="32"/>
                <w:u w:val="none"/>
              </w:rPr>
              <w:t>.15</w:t>
            </w:r>
          </w:p>
        </w:tc>
      </w:tr>
      <w:tr w14:paraId="6049B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4" w:hRule="atLeast"/>
        </w:trPr>
        <w:tc>
          <w:tcPr>
            <w:tcW w:w="2513" w:type="dxa"/>
            <w:vAlign w:val="center"/>
          </w:tcPr>
          <w:p w14:paraId="782A3ED8">
            <w:pPr>
              <w:spacing w:line="520" w:lineRule="exact"/>
              <w:ind w:firstLine="0" w:firstLineChars="0"/>
              <w:rPr>
                <w:rFonts w:hint="default" w:ascii="Times New Roman" w:hAnsi="Times New Roman" w:eastAsia="仿宋_GB2312" w:cs="Times New Roman"/>
                <w:b/>
                <w:bCs/>
                <w:kern w:val="0"/>
                <w:sz w:val="32"/>
                <w:szCs w:val="32"/>
                <w:u w:val="none"/>
              </w:rPr>
            </w:pPr>
            <w:r>
              <w:rPr>
                <w:rFonts w:hint="default" w:ascii="Times New Roman" w:hAnsi="Times New Roman" w:eastAsia="仿宋_GB2312" w:cs="Times New Roman"/>
                <w:b/>
                <w:bCs/>
                <w:kern w:val="0"/>
                <w:sz w:val="32"/>
                <w:szCs w:val="32"/>
                <w:u w:val="none"/>
              </w:rPr>
              <w:t>13.</w:t>
            </w:r>
            <w:r>
              <w:rPr>
                <w:rFonts w:hint="default" w:ascii="Times New Roman" w:hAnsi="Times New Roman" w:eastAsia="仿宋_GB2312" w:cs="Times New Roman"/>
                <w:kern w:val="0"/>
                <w:sz w:val="32"/>
                <w:szCs w:val="32"/>
                <w:u w:val="none"/>
              </w:rPr>
              <w:t xml:space="preserve"> </w:t>
            </w:r>
            <w:r>
              <w:rPr>
                <w:rFonts w:hint="default" w:ascii="Times New Roman" w:hAnsi="Times New Roman" w:eastAsia="仿宋_GB2312" w:cs="Times New Roman"/>
                <w:b/>
                <w:bCs/>
                <w:kern w:val="0"/>
                <w:sz w:val="32"/>
                <w:szCs w:val="32"/>
                <w:u w:val="none"/>
              </w:rPr>
              <w:t>长三角工业设计集群化发展与全球竞争力提升研究</w:t>
            </w:r>
          </w:p>
        </w:tc>
        <w:tc>
          <w:tcPr>
            <w:tcW w:w="10038" w:type="dxa"/>
            <w:vAlign w:val="center"/>
          </w:tcPr>
          <w:p w14:paraId="07B9D53D">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围绕长三角一体化国家战略，研究工业设计在技术孵化、品牌输出、国际合作中的核心作用。通过分析设计企业集聚效应、产业链协同创新模式，提出跨省市设计资源共享平台建设方案与协同路径，推动长三角工业设计从规模扩张向质量跃升转型，打造世界级设计产业集群。</w:t>
            </w:r>
          </w:p>
        </w:tc>
        <w:tc>
          <w:tcPr>
            <w:tcW w:w="1476" w:type="dxa"/>
            <w:vAlign w:val="center"/>
          </w:tcPr>
          <w:p w14:paraId="7F3646DE">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2025.</w:t>
            </w:r>
            <w:r>
              <w:rPr>
                <w:rFonts w:hint="default" w:ascii="Times New Roman" w:hAnsi="Times New Roman" w:eastAsia="仿宋_GB2312" w:cs="Times New Roman"/>
                <w:kern w:val="0"/>
                <w:sz w:val="32"/>
                <w:szCs w:val="32"/>
                <w:u w:val="none"/>
                <w:lang w:val="en-US" w:eastAsia="zh-CN"/>
              </w:rPr>
              <w:t>10</w:t>
            </w:r>
            <w:r>
              <w:rPr>
                <w:rFonts w:hint="default" w:ascii="Times New Roman" w:hAnsi="Times New Roman" w:eastAsia="仿宋_GB2312" w:cs="Times New Roman"/>
                <w:kern w:val="0"/>
                <w:sz w:val="32"/>
                <w:szCs w:val="32"/>
                <w:u w:val="none"/>
              </w:rPr>
              <w:t>.15</w:t>
            </w:r>
          </w:p>
        </w:tc>
      </w:tr>
      <w:tr w14:paraId="11D5C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3" w:type="dxa"/>
            <w:vAlign w:val="center"/>
          </w:tcPr>
          <w:p w14:paraId="0816F316">
            <w:pPr>
              <w:spacing w:line="520" w:lineRule="exact"/>
              <w:ind w:firstLine="0" w:firstLineChars="0"/>
              <w:rPr>
                <w:rFonts w:hint="default" w:ascii="Times New Roman" w:hAnsi="Times New Roman" w:eastAsia="仿宋_GB2312" w:cs="Times New Roman"/>
                <w:b/>
                <w:bCs/>
                <w:kern w:val="0"/>
                <w:sz w:val="32"/>
                <w:szCs w:val="32"/>
                <w:u w:val="none"/>
              </w:rPr>
            </w:pPr>
            <w:r>
              <w:rPr>
                <w:rFonts w:hint="default" w:ascii="Times New Roman" w:hAnsi="Times New Roman" w:eastAsia="仿宋_GB2312" w:cs="Times New Roman"/>
                <w:b/>
                <w:bCs/>
                <w:kern w:val="0"/>
                <w:sz w:val="32"/>
                <w:szCs w:val="32"/>
                <w:u w:val="none"/>
              </w:rPr>
              <w:t>14.</w:t>
            </w:r>
            <w:r>
              <w:rPr>
                <w:rFonts w:hint="default" w:ascii="Times New Roman" w:hAnsi="Times New Roman" w:eastAsia="仿宋_GB2312" w:cs="Times New Roman"/>
                <w:kern w:val="0"/>
                <w:sz w:val="32"/>
                <w:szCs w:val="32"/>
                <w:u w:val="none"/>
              </w:rPr>
              <w:t xml:space="preserve"> </w:t>
            </w:r>
            <w:r>
              <w:rPr>
                <w:rFonts w:hint="default" w:ascii="Times New Roman" w:hAnsi="Times New Roman" w:eastAsia="仿宋_GB2312" w:cs="Times New Roman"/>
                <w:b/>
                <w:bCs/>
                <w:kern w:val="0"/>
                <w:sz w:val="32"/>
                <w:szCs w:val="32"/>
                <w:u w:val="none"/>
              </w:rPr>
              <w:t>京津冀工业设计产业协同与创新走廊建设研究</w:t>
            </w:r>
          </w:p>
        </w:tc>
        <w:tc>
          <w:tcPr>
            <w:tcW w:w="10038" w:type="dxa"/>
            <w:vAlign w:val="center"/>
          </w:tcPr>
          <w:p w14:paraId="7378354E">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聚焦京津冀协同发展需求，研究区域工业设计产业分工优化、技术溢出与政策协同机制。通过梳理北京</w:t>
            </w:r>
            <w:r>
              <w:rPr>
                <w:rFonts w:hint="default" w:ascii="Times New Roman" w:hAnsi="Times New Roman" w:eastAsia="仿宋_GB2312" w:cs="Times New Roman"/>
                <w:kern w:val="0"/>
                <w:sz w:val="32"/>
                <w:szCs w:val="32"/>
                <w:u w:val="none"/>
                <w:lang w:val="en-US" w:eastAsia="zh-CN"/>
              </w:rPr>
              <w:t>设计</w:t>
            </w:r>
            <w:r>
              <w:rPr>
                <w:rFonts w:hint="default" w:ascii="Times New Roman" w:hAnsi="Times New Roman" w:eastAsia="仿宋_GB2312" w:cs="Times New Roman"/>
                <w:kern w:val="0"/>
                <w:sz w:val="32"/>
                <w:szCs w:val="32"/>
                <w:u w:val="none"/>
              </w:rPr>
              <w:t>研发资源、天津制造基础与河北产业承接能力，提出“设计研发-中试转化-规模化生产”创新走廊建设路径，推动三地设计服务网络互联互通，培育区域经济增长新动能，助力京津冀打造全国创新驱动发展新引擎。</w:t>
            </w:r>
          </w:p>
        </w:tc>
        <w:tc>
          <w:tcPr>
            <w:tcW w:w="1476" w:type="dxa"/>
            <w:vAlign w:val="center"/>
          </w:tcPr>
          <w:p w14:paraId="65A1F8E1">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2025.</w:t>
            </w:r>
            <w:r>
              <w:rPr>
                <w:rFonts w:hint="default" w:ascii="Times New Roman" w:hAnsi="Times New Roman" w:eastAsia="仿宋_GB2312" w:cs="Times New Roman"/>
                <w:kern w:val="0"/>
                <w:sz w:val="32"/>
                <w:szCs w:val="32"/>
                <w:u w:val="none"/>
                <w:lang w:val="en-US" w:eastAsia="zh-CN"/>
              </w:rPr>
              <w:t>10</w:t>
            </w:r>
            <w:r>
              <w:rPr>
                <w:rFonts w:hint="default" w:ascii="Times New Roman" w:hAnsi="Times New Roman" w:eastAsia="仿宋_GB2312" w:cs="Times New Roman"/>
                <w:kern w:val="0"/>
                <w:sz w:val="32"/>
                <w:szCs w:val="32"/>
                <w:u w:val="none"/>
              </w:rPr>
              <w:t>.15</w:t>
            </w:r>
          </w:p>
        </w:tc>
      </w:tr>
      <w:tr w14:paraId="553C5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3" w:type="dxa"/>
            <w:vAlign w:val="center"/>
          </w:tcPr>
          <w:p w14:paraId="503B7D61">
            <w:pPr>
              <w:spacing w:line="520" w:lineRule="exact"/>
              <w:ind w:firstLine="0" w:firstLineChars="0"/>
              <w:rPr>
                <w:rFonts w:hint="default" w:ascii="Times New Roman" w:hAnsi="Times New Roman" w:eastAsia="仿宋_GB2312" w:cs="Times New Roman"/>
                <w:b/>
                <w:bCs/>
                <w:kern w:val="0"/>
                <w:sz w:val="32"/>
                <w:szCs w:val="32"/>
                <w:u w:val="none"/>
              </w:rPr>
            </w:pPr>
            <w:r>
              <w:rPr>
                <w:rFonts w:hint="default" w:ascii="Times New Roman" w:hAnsi="Times New Roman" w:eastAsia="仿宋_GB2312" w:cs="Times New Roman"/>
                <w:b/>
                <w:bCs/>
                <w:kern w:val="0"/>
                <w:sz w:val="32"/>
                <w:szCs w:val="32"/>
                <w:u w:val="none"/>
              </w:rPr>
              <w:t>15.</w:t>
            </w:r>
            <w:r>
              <w:rPr>
                <w:rFonts w:hint="default" w:ascii="Times New Roman" w:hAnsi="Times New Roman" w:eastAsia="仿宋_GB2312" w:cs="Times New Roman"/>
                <w:kern w:val="0"/>
                <w:sz w:val="32"/>
                <w:szCs w:val="32"/>
                <w:u w:val="none"/>
              </w:rPr>
              <w:t xml:space="preserve"> </w:t>
            </w:r>
            <w:r>
              <w:rPr>
                <w:rFonts w:hint="default" w:ascii="Times New Roman" w:hAnsi="Times New Roman" w:eastAsia="仿宋_GB2312" w:cs="Times New Roman"/>
                <w:b/>
                <w:bCs/>
                <w:kern w:val="0"/>
                <w:sz w:val="32"/>
                <w:szCs w:val="32"/>
                <w:u w:val="none"/>
              </w:rPr>
              <w:t>工业设计赋能西部地区产业升级研究</w:t>
            </w:r>
          </w:p>
        </w:tc>
        <w:tc>
          <w:tcPr>
            <w:tcW w:w="10038" w:type="dxa"/>
            <w:vAlign w:val="center"/>
          </w:tcPr>
          <w:p w14:paraId="1545E10F">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结合西部大开发与乡村振兴战略，研究工业设计在特色资源开发、传统工艺现代化、生态产品价值转化中的应用路径。通过挖掘民族文化符号、地方产业痛点，提出“设计+文旅”“设计+农业”“设计+新能源”等融合模式，探索西部地区产业差异化升级策略，推动资源优势转化为经济优势，促进区域协调发展。</w:t>
            </w:r>
          </w:p>
        </w:tc>
        <w:tc>
          <w:tcPr>
            <w:tcW w:w="1476" w:type="dxa"/>
            <w:vAlign w:val="center"/>
          </w:tcPr>
          <w:p w14:paraId="34D7C8BA">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2025.</w:t>
            </w:r>
            <w:r>
              <w:rPr>
                <w:rFonts w:hint="default" w:ascii="Times New Roman" w:hAnsi="Times New Roman" w:eastAsia="仿宋_GB2312" w:cs="Times New Roman"/>
                <w:kern w:val="0"/>
                <w:sz w:val="32"/>
                <w:szCs w:val="32"/>
                <w:u w:val="none"/>
                <w:lang w:val="en-US" w:eastAsia="zh-CN"/>
              </w:rPr>
              <w:t>10</w:t>
            </w:r>
            <w:r>
              <w:rPr>
                <w:rFonts w:hint="default" w:ascii="Times New Roman" w:hAnsi="Times New Roman" w:eastAsia="仿宋_GB2312" w:cs="Times New Roman"/>
                <w:kern w:val="0"/>
                <w:sz w:val="32"/>
                <w:szCs w:val="32"/>
                <w:u w:val="none"/>
              </w:rPr>
              <w:t>.15</w:t>
            </w:r>
          </w:p>
        </w:tc>
      </w:tr>
      <w:tr w14:paraId="0A8A6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2513" w:type="dxa"/>
            <w:vAlign w:val="center"/>
          </w:tcPr>
          <w:p w14:paraId="07ED90C5">
            <w:pPr>
              <w:spacing w:line="520" w:lineRule="exact"/>
              <w:ind w:firstLine="0" w:firstLineChars="0"/>
              <w:rPr>
                <w:rFonts w:hint="default" w:ascii="Times New Roman" w:hAnsi="Times New Roman" w:eastAsia="仿宋_GB2312" w:cs="Times New Roman"/>
                <w:b/>
                <w:bCs/>
                <w:kern w:val="0"/>
                <w:sz w:val="32"/>
                <w:szCs w:val="32"/>
                <w:u w:val="none"/>
              </w:rPr>
            </w:pPr>
            <w:r>
              <w:rPr>
                <w:rFonts w:hint="default" w:ascii="Times New Roman" w:hAnsi="Times New Roman" w:eastAsia="仿宋_GB2312" w:cs="Times New Roman"/>
                <w:b/>
                <w:bCs/>
                <w:kern w:val="0"/>
                <w:sz w:val="32"/>
                <w:szCs w:val="32"/>
                <w:u w:val="none"/>
              </w:rPr>
              <w:t>16.</w:t>
            </w:r>
            <w:r>
              <w:rPr>
                <w:rFonts w:hint="default" w:ascii="Times New Roman" w:hAnsi="Times New Roman" w:eastAsia="仿宋_GB2312" w:cs="Times New Roman"/>
                <w:kern w:val="0"/>
                <w:sz w:val="32"/>
                <w:szCs w:val="32"/>
                <w:u w:val="none"/>
              </w:rPr>
              <w:t xml:space="preserve"> </w:t>
            </w:r>
            <w:r>
              <w:rPr>
                <w:rFonts w:hint="default" w:ascii="Times New Roman" w:hAnsi="Times New Roman" w:eastAsia="仿宋_GB2312" w:cs="Times New Roman"/>
                <w:b/>
                <w:bCs/>
                <w:kern w:val="0"/>
                <w:sz w:val="32"/>
                <w:szCs w:val="32"/>
                <w:u w:val="none"/>
              </w:rPr>
              <w:t>工业设计助力东北老工业基地产业升级研究</w:t>
            </w:r>
          </w:p>
        </w:tc>
        <w:tc>
          <w:tcPr>
            <w:tcW w:w="10038" w:type="dxa"/>
            <w:vAlign w:val="center"/>
          </w:tcPr>
          <w:p w14:paraId="3FD78658">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针对东北装备制造、能源化工等传统产业转型需求，研究工业设计驱动智能化、绿色化、服务化升级的实践路径。通过分析“设计+智能技术”“设计+循环经济”等创新案例，提出老工业基地设计赋能政策工具箱，推动产业链向高端延伸，重塑东北制造核心竞争力，为全国老工业区振兴提供示范经验。</w:t>
            </w:r>
          </w:p>
        </w:tc>
        <w:tc>
          <w:tcPr>
            <w:tcW w:w="1476" w:type="dxa"/>
            <w:vAlign w:val="center"/>
          </w:tcPr>
          <w:p w14:paraId="4A49C153">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2025.</w:t>
            </w:r>
            <w:r>
              <w:rPr>
                <w:rFonts w:hint="default" w:ascii="Times New Roman" w:hAnsi="Times New Roman" w:eastAsia="仿宋_GB2312" w:cs="Times New Roman"/>
                <w:kern w:val="0"/>
                <w:sz w:val="32"/>
                <w:szCs w:val="32"/>
                <w:u w:val="none"/>
                <w:lang w:val="en-US" w:eastAsia="zh-CN"/>
              </w:rPr>
              <w:t>10</w:t>
            </w:r>
            <w:r>
              <w:rPr>
                <w:rFonts w:hint="default" w:ascii="Times New Roman" w:hAnsi="Times New Roman" w:eastAsia="仿宋_GB2312" w:cs="Times New Roman"/>
                <w:kern w:val="0"/>
                <w:sz w:val="32"/>
                <w:szCs w:val="32"/>
                <w:u w:val="none"/>
              </w:rPr>
              <w:t>.15</w:t>
            </w:r>
          </w:p>
        </w:tc>
      </w:tr>
      <w:tr w14:paraId="02A27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4027" w:type="dxa"/>
            <w:gridSpan w:val="3"/>
            <w:vAlign w:val="center"/>
          </w:tcPr>
          <w:p w14:paraId="79C93983">
            <w:pPr>
              <w:ind w:firstLine="0" w:firstLineChars="0"/>
              <w:jc w:val="center"/>
              <w:rPr>
                <w:rFonts w:hint="default" w:ascii="Times New Roman" w:hAnsi="Times New Roman" w:eastAsia="黑体" w:cs="Times New Roman"/>
                <w:kern w:val="0"/>
                <w:sz w:val="32"/>
                <w:szCs w:val="32"/>
                <w:u w:val="none"/>
              </w:rPr>
            </w:pPr>
            <w:r>
              <w:rPr>
                <w:rFonts w:hint="default" w:ascii="Times New Roman" w:hAnsi="Times New Roman" w:eastAsia="黑体" w:cs="Times New Roman"/>
                <w:kern w:val="0"/>
                <w:sz w:val="32"/>
                <w:szCs w:val="32"/>
                <w:u w:val="none"/>
              </w:rPr>
              <w:t>研究方向四</w:t>
            </w:r>
          </w:p>
          <w:p w14:paraId="37B05465">
            <w:pPr>
              <w:ind w:firstLine="0" w:firstLineChars="0"/>
              <w:jc w:val="center"/>
              <w:rPr>
                <w:rFonts w:hint="default" w:ascii="Times New Roman" w:hAnsi="Times New Roman" w:eastAsia="仿宋_GB2312" w:cs="Times New Roman"/>
                <w:b/>
                <w:bCs/>
                <w:kern w:val="0"/>
                <w:sz w:val="32"/>
                <w:szCs w:val="32"/>
                <w:u w:val="none"/>
              </w:rPr>
            </w:pPr>
            <w:r>
              <w:rPr>
                <w:rFonts w:hint="default" w:ascii="Times New Roman" w:hAnsi="Times New Roman" w:eastAsia="黑体" w:cs="Times New Roman"/>
                <w:kern w:val="0"/>
                <w:sz w:val="32"/>
                <w:szCs w:val="32"/>
                <w:u w:val="none"/>
              </w:rPr>
              <w:t>工业设计赋能新质生产力发展战略研究</w:t>
            </w:r>
          </w:p>
        </w:tc>
      </w:tr>
      <w:tr w14:paraId="719E5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trPr>
        <w:tc>
          <w:tcPr>
            <w:tcW w:w="2513" w:type="dxa"/>
            <w:vAlign w:val="center"/>
          </w:tcPr>
          <w:p w14:paraId="2F0734A2">
            <w:pPr>
              <w:spacing w:line="520" w:lineRule="exact"/>
              <w:ind w:firstLine="0" w:firstLineChars="0"/>
              <w:rPr>
                <w:rFonts w:hint="default" w:ascii="Times New Roman" w:hAnsi="Times New Roman" w:eastAsia="仿宋_GB2312" w:cs="Times New Roman"/>
                <w:b/>
                <w:bCs/>
                <w:kern w:val="0"/>
                <w:sz w:val="32"/>
                <w:szCs w:val="32"/>
                <w:u w:val="none"/>
              </w:rPr>
            </w:pPr>
            <w:r>
              <w:rPr>
                <w:rFonts w:hint="default" w:ascii="Times New Roman" w:hAnsi="Times New Roman" w:eastAsia="仿宋_GB2312" w:cs="Times New Roman"/>
                <w:b/>
                <w:bCs/>
                <w:kern w:val="0"/>
                <w:sz w:val="32"/>
                <w:szCs w:val="32"/>
                <w:u w:val="none"/>
              </w:rPr>
              <w:t>17.</w:t>
            </w:r>
            <w:r>
              <w:rPr>
                <w:rFonts w:hint="default" w:ascii="Times New Roman" w:hAnsi="Times New Roman" w:eastAsia="仿宋_GB2312" w:cs="Times New Roman"/>
                <w:kern w:val="0"/>
                <w:sz w:val="32"/>
                <w:szCs w:val="32"/>
                <w:u w:val="none"/>
              </w:rPr>
              <w:t xml:space="preserve"> </w:t>
            </w:r>
            <w:r>
              <w:rPr>
                <w:rFonts w:hint="default" w:ascii="Times New Roman" w:hAnsi="Times New Roman" w:eastAsia="仿宋_GB2312" w:cs="Times New Roman"/>
                <w:b/>
                <w:bCs/>
                <w:kern w:val="0"/>
                <w:sz w:val="32"/>
                <w:szCs w:val="32"/>
                <w:u w:val="none"/>
              </w:rPr>
              <w:t>工业设计与新兴技术融合的战略路径及政策框架研究</w:t>
            </w:r>
          </w:p>
        </w:tc>
        <w:tc>
          <w:tcPr>
            <w:tcW w:w="10038" w:type="dxa"/>
            <w:vAlign w:val="center"/>
          </w:tcPr>
          <w:p w14:paraId="427AE8F8">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聚焦人工智能、数字孪生、区块链等前沿技术与工业设计的协同创新机制，系统研究技术融合对设计效率提升、产品智能化升级的核心作用。通过分析国际技术融合趋势与国内产业需求，提出国家层面技术标准制定、跨领域协同的政策框架，为构建“设计+科技”深度融合的产业生态提供顶层设计支持，助力抢占全球新质生产力发展制高点。</w:t>
            </w:r>
          </w:p>
        </w:tc>
        <w:tc>
          <w:tcPr>
            <w:tcW w:w="1476" w:type="dxa"/>
            <w:vAlign w:val="center"/>
          </w:tcPr>
          <w:p w14:paraId="004852D5">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2025.</w:t>
            </w:r>
            <w:r>
              <w:rPr>
                <w:rFonts w:hint="default" w:ascii="Times New Roman" w:hAnsi="Times New Roman" w:eastAsia="仿宋_GB2312" w:cs="Times New Roman"/>
                <w:kern w:val="0"/>
                <w:sz w:val="32"/>
                <w:szCs w:val="32"/>
                <w:u w:val="none"/>
                <w:lang w:val="en-US" w:eastAsia="zh-CN"/>
              </w:rPr>
              <w:t>10</w:t>
            </w:r>
            <w:r>
              <w:rPr>
                <w:rFonts w:hint="default" w:ascii="Times New Roman" w:hAnsi="Times New Roman" w:eastAsia="仿宋_GB2312" w:cs="Times New Roman"/>
                <w:kern w:val="0"/>
                <w:sz w:val="32"/>
                <w:szCs w:val="32"/>
                <w:u w:val="none"/>
              </w:rPr>
              <w:t>.15</w:t>
            </w:r>
          </w:p>
        </w:tc>
      </w:tr>
      <w:tr w14:paraId="2B55A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2513" w:type="dxa"/>
            <w:vAlign w:val="center"/>
          </w:tcPr>
          <w:p w14:paraId="6246AC78">
            <w:pPr>
              <w:spacing w:line="520" w:lineRule="exact"/>
              <w:ind w:firstLine="0" w:firstLineChars="0"/>
              <w:rPr>
                <w:rFonts w:hint="default" w:ascii="Times New Roman" w:hAnsi="Times New Roman" w:eastAsia="仿宋_GB2312" w:cs="Times New Roman"/>
                <w:b/>
                <w:bCs/>
                <w:kern w:val="0"/>
                <w:sz w:val="32"/>
                <w:szCs w:val="32"/>
                <w:u w:val="none"/>
              </w:rPr>
            </w:pPr>
            <w:r>
              <w:rPr>
                <w:rFonts w:hint="default" w:ascii="Times New Roman" w:hAnsi="Times New Roman" w:eastAsia="仿宋_GB2312" w:cs="Times New Roman"/>
                <w:b/>
                <w:bCs/>
                <w:kern w:val="0"/>
                <w:sz w:val="32"/>
                <w:szCs w:val="32"/>
                <w:u w:val="none"/>
              </w:rPr>
              <w:t>18. 工业设计驱动产业链升级与全球竞争力提升研究</w:t>
            </w:r>
          </w:p>
        </w:tc>
        <w:tc>
          <w:tcPr>
            <w:tcW w:w="10038" w:type="dxa"/>
            <w:vAlign w:val="center"/>
          </w:tcPr>
          <w:p w14:paraId="4C535062">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围绕工业设计在产业链高附加值环节的赋能作用，研究设计创新驱动研发、制造、服务全链条重构的实践路径。通过分析国际标杆案例与国内产业痛点，提出设计嵌入技术转化、品牌国际化、价值链延伸的策略体系，推动我国从“制造大国”向“设计强国”转型，增强产业链韧性与全球话语权。</w:t>
            </w:r>
          </w:p>
        </w:tc>
        <w:tc>
          <w:tcPr>
            <w:tcW w:w="1476" w:type="dxa"/>
            <w:vAlign w:val="center"/>
          </w:tcPr>
          <w:p w14:paraId="333FA2CF">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2025.</w:t>
            </w:r>
            <w:r>
              <w:rPr>
                <w:rFonts w:hint="default" w:ascii="Times New Roman" w:hAnsi="Times New Roman" w:eastAsia="仿宋_GB2312" w:cs="Times New Roman"/>
                <w:kern w:val="0"/>
                <w:sz w:val="32"/>
                <w:szCs w:val="32"/>
                <w:u w:val="none"/>
                <w:lang w:val="en-US" w:eastAsia="zh-CN"/>
              </w:rPr>
              <w:t>10</w:t>
            </w:r>
            <w:r>
              <w:rPr>
                <w:rFonts w:hint="default" w:ascii="Times New Roman" w:hAnsi="Times New Roman" w:eastAsia="仿宋_GB2312" w:cs="Times New Roman"/>
                <w:kern w:val="0"/>
                <w:sz w:val="32"/>
                <w:szCs w:val="32"/>
                <w:u w:val="none"/>
              </w:rPr>
              <w:t>.15</w:t>
            </w:r>
          </w:p>
        </w:tc>
      </w:tr>
      <w:tr w14:paraId="59A8A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2513" w:type="dxa"/>
            <w:vAlign w:val="center"/>
          </w:tcPr>
          <w:p w14:paraId="0FBD27EF">
            <w:pPr>
              <w:spacing w:line="520" w:lineRule="exact"/>
              <w:ind w:firstLine="0" w:firstLineChars="0"/>
              <w:rPr>
                <w:rFonts w:hint="default" w:ascii="Times New Roman" w:hAnsi="Times New Roman" w:eastAsia="仿宋_GB2312" w:cs="Times New Roman"/>
                <w:b/>
                <w:bCs/>
                <w:kern w:val="0"/>
                <w:sz w:val="32"/>
                <w:szCs w:val="32"/>
                <w:u w:val="none"/>
              </w:rPr>
            </w:pPr>
            <w:r>
              <w:rPr>
                <w:rFonts w:hint="default" w:ascii="Times New Roman" w:hAnsi="Times New Roman" w:eastAsia="仿宋_GB2312" w:cs="Times New Roman"/>
                <w:b/>
                <w:bCs/>
                <w:kern w:val="0"/>
                <w:sz w:val="32"/>
                <w:szCs w:val="32"/>
                <w:u w:val="none"/>
              </w:rPr>
              <w:t>19. 工业设计政策与创新生态系统优化研究</w:t>
            </w:r>
          </w:p>
        </w:tc>
        <w:tc>
          <w:tcPr>
            <w:tcW w:w="10038" w:type="dxa"/>
            <w:vAlign w:val="center"/>
          </w:tcPr>
          <w:p w14:paraId="66B1AC27">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立足新质生产力发展需求，系统评估现有工业设计政策在成果转化、中小企业支持、区域协同中的实施效能。研究</w:t>
            </w:r>
            <w:r>
              <w:rPr>
                <w:rFonts w:hint="default" w:ascii="Times New Roman" w:hAnsi="Times New Roman" w:eastAsia="仿宋_GB2312" w:cs="Times New Roman"/>
                <w:kern w:val="0"/>
                <w:sz w:val="32"/>
                <w:szCs w:val="32"/>
                <w:u w:val="none"/>
                <w:lang w:val="en-US" w:eastAsia="zh-CN"/>
              </w:rPr>
              <w:t>工业设计经营主体</w:t>
            </w:r>
            <w:r>
              <w:rPr>
                <w:rFonts w:hint="default" w:ascii="Times New Roman" w:hAnsi="Times New Roman" w:eastAsia="仿宋_GB2312" w:cs="Times New Roman"/>
                <w:kern w:val="0"/>
                <w:sz w:val="32"/>
                <w:szCs w:val="32"/>
                <w:u w:val="none"/>
              </w:rPr>
              <w:t>创新培育方法，构建覆盖“</w:t>
            </w:r>
            <w:r>
              <w:rPr>
                <w:rFonts w:hint="default" w:ascii="Times New Roman" w:hAnsi="Times New Roman" w:eastAsia="仿宋_GB2312" w:cs="Times New Roman"/>
                <w:kern w:val="0"/>
                <w:sz w:val="32"/>
                <w:szCs w:val="32"/>
                <w:u w:val="none"/>
                <w:lang w:val="en-US" w:eastAsia="zh-CN"/>
              </w:rPr>
              <w:t>设计创新-</w:t>
            </w:r>
            <w:r>
              <w:rPr>
                <w:rFonts w:hint="default" w:ascii="Times New Roman" w:hAnsi="Times New Roman" w:eastAsia="仿宋_GB2312" w:cs="Times New Roman"/>
                <w:kern w:val="0"/>
                <w:sz w:val="32"/>
                <w:szCs w:val="32"/>
                <w:u w:val="none"/>
              </w:rPr>
              <w:t>技术研发-资本对接-市场应用”创新生态，为优化政策供给、激发设计创新活力提供决策依据，支撑国家创新驱动战略落地。</w:t>
            </w:r>
          </w:p>
        </w:tc>
        <w:tc>
          <w:tcPr>
            <w:tcW w:w="1476" w:type="dxa"/>
            <w:vAlign w:val="center"/>
          </w:tcPr>
          <w:p w14:paraId="49263413">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2025.</w:t>
            </w:r>
            <w:r>
              <w:rPr>
                <w:rFonts w:hint="default" w:ascii="Times New Roman" w:hAnsi="Times New Roman" w:eastAsia="仿宋_GB2312" w:cs="Times New Roman"/>
                <w:kern w:val="0"/>
                <w:sz w:val="32"/>
                <w:szCs w:val="32"/>
                <w:u w:val="none"/>
                <w:lang w:val="en-US" w:eastAsia="zh-CN"/>
              </w:rPr>
              <w:t>10</w:t>
            </w:r>
            <w:r>
              <w:rPr>
                <w:rFonts w:hint="default" w:ascii="Times New Roman" w:hAnsi="Times New Roman" w:eastAsia="仿宋_GB2312" w:cs="Times New Roman"/>
                <w:kern w:val="0"/>
                <w:sz w:val="32"/>
                <w:szCs w:val="32"/>
                <w:u w:val="none"/>
              </w:rPr>
              <w:t>.15</w:t>
            </w:r>
          </w:p>
        </w:tc>
      </w:tr>
      <w:tr w14:paraId="4F353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trPr>
        <w:tc>
          <w:tcPr>
            <w:tcW w:w="2513" w:type="dxa"/>
            <w:vAlign w:val="center"/>
          </w:tcPr>
          <w:p w14:paraId="368BA797">
            <w:pPr>
              <w:spacing w:line="520" w:lineRule="exact"/>
              <w:ind w:firstLine="0" w:firstLineChars="0"/>
              <w:rPr>
                <w:rFonts w:hint="default" w:ascii="Times New Roman" w:hAnsi="Times New Roman" w:eastAsia="仿宋_GB2312" w:cs="Times New Roman"/>
                <w:b/>
                <w:bCs/>
                <w:kern w:val="0"/>
                <w:sz w:val="32"/>
                <w:szCs w:val="32"/>
                <w:u w:val="none"/>
              </w:rPr>
            </w:pPr>
            <w:r>
              <w:rPr>
                <w:rFonts w:hint="default" w:ascii="Times New Roman" w:hAnsi="Times New Roman" w:eastAsia="仿宋_GB2312" w:cs="Times New Roman"/>
                <w:b/>
                <w:bCs/>
                <w:kern w:val="0"/>
                <w:sz w:val="32"/>
                <w:szCs w:val="32"/>
                <w:u w:val="none"/>
              </w:rPr>
              <w:t>20. 工业设计与数字化转型深度融合研究</w:t>
            </w:r>
          </w:p>
        </w:tc>
        <w:tc>
          <w:tcPr>
            <w:tcW w:w="10038" w:type="dxa"/>
            <w:vAlign w:val="center"/>
          </w:tcPr>
          <w:p w14:paraId="26A91211">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聚焦数字技术对工业设计流程的重塑作用，研究人工智能辅助设计、虚拟仿真验证、数据驱动决策等数字化工具的规模化应用路径。通过分析制造业数字化转型需求，提出设计工具国产化、企业数字化能力分级评价标准等方案，推动设计效率与产品质量双提升，加速新型工业化进程。</w:t>
            </w:r>
          </w:p>
        </w:tc>
        <w:tc>
          <w:tcPr>
            <w:tcW w:w="1476" w:type="dxa"/>
            <w:vAlign w:val="center"/>
          </w:tcPr>
          <w:p w14:paraId="3F26D138">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2025.</w:t>
            </w:r>
            <w:r>
              <w:rPr>
                <w:rFonts w:hint="default" w:ascii="Times New Roman" w:hAnsi="Times New Roman" w:eastAsia="仿宋_GB2312" w:cs="Times New Roman"/>
                <w:kern w:val="0"/>
                <w:sz w:val="32"/>
                <w:szCs w:val="32"/>
                <w:u w:val="none"/>
                <w:lang w:val="en-US" w:eastAsia="zh-CN"/>
              </w:rPr>
              <w:t>10</w:t>
            </w:r>
            <w:r>
              <w:rPr>
                <w:rFonts w:hint="default" w:ascii="Times New Roman" w:hAnsi="Times New Roman" w:eastAsia="仿宋_GB2312" w:cs="Times New Roman"/>
                <w:kern w:val="0"/>
                <w:sz w:val="32"/>
                <w:szCs w:val="32"/>
                <w:u w:val="none"/>
              </w:rPr>
              <w:t>.15</w:t>
            </w:r>
          </w:p>
        </w:tc>
      </w:tr>
      <w:tr w14:paraId="5735A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2513" w:type="dxa"/>
            <w:vAlign w:val="center"/>
          </w:tcPr>
          <w:p w14:paraId="4689F2F4">
            <w:pPr>
              <w:spacing w:line="520" w:lineRule="exact"/>
              <w:ind w:firstLine="0" w:firstLineChars="0"/>
              <w:rPr>
                <w:rFonts w:hint="default" w:ascii="Times New Roman" w:hAnsi="Times New Roman" w:eastAsia="仿宋_GB2312" w:cs="Times New Roman"/>
                <w:b/>
                <w:bCs/>
                <w:kern w:val="0"/>
                <w:sz w:val="32"/>
                <w:szCs w:val="32"/>
                <w:u w:val="none"/>
              </w:rPr>
            </w:pPr>
            <w:r>
              <w:rPr>
                <w:rFonts w:hint="default" w:ascii="Times New Roman" w:hAnsi="Times New Roman" w:eastAsia="仿宋_GB2312" w:cs="Times New Roman"/>
                <w:b/>
                <w:bCs/>
                <w:kern w:val="0"/>
                <w:sz w:val="32"/>
                <w:szCs w:val="32"/>
                <w:u w:val="none"/>
              </w:rPr>
              <w:t>21. 工业设计引领社会可持续创新研究</w:t>
            </w:r>
          </w:p>
        </w:tc>
        <w:tc>
          <w:tcPr>
            <w:tcW w:w="10038" w:type="dxa"/>
            <w:vAlign w:val="center"/>
          </w:tcPr>
          <w:p w14:paraId="353A4858">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围绕碳中和与循环经济目标，研究工业设计在绿色材料替代、产品生命周期管理、低碳服务模式创新中的关键作用。通过构建可持续设计评价体系与典型案例库，提出政策激励、标准制定、公众参与的全社会协同机制，为工业设计赋能经济社会绿色转型提供系统性解决方案。</w:t>
            </w:r>
          </w:p>
        </w:tc>
        <w:tc>
          <w:tcPr>
            <w:tcW w:w="1476" w:type="dxa"/>
            <w:vAlign w:val="center"/>
          </w:tcPr>
          <w:p w14:paraId="17F6194F">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2025.</w:t>
            </w:r>
            <w:r>
              <w:rPr>
                <w:rFonts w:hint="default" w:ascii="Times New Roman" w:hAnsi="Times New Roman" w:eastAsia="仿宋_GB2312" w:cs="Times New Roman"/>
                <w:kern w:val="0"/>
                <w:sz w:val="32"/>
                <w:szCs w:val="32"/>
                <w:u w:val="none"/>
                <w:lang w:val="en-US" w:eastAsia="zh-CN"/>
              </w:rPr>
              <w:t>10</w:t>
            </w:r>
            <w:r>
              <w:rPr>
                <w:rFonts w:hint="default" w:ascii="Times New Roman" w:hAnsi="Times New Roman" w:eastAsia="仿宋_GB2312" w:cs="Times New Roman"/>
                <w:kern w:val="0"/>
                <w:sz w:val="32"/>
                <w:szCs w:val="32"/>
                <w:u w:val="none"/>
              </w:rPr>
              <w:t>.15</w:t>
            </w:r>
          </w:p>
        </w:tc>
      </w:tr>
      <w:tr w14:paraId="47EE9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513" w:type="dxa"/>
            <w:vAlign w:val="center"/>
          </w:tcPr>
          <w:p w14:paraId="41673928">
            <w:pPr>
              <w:spacing w:line="520" w:lineRule="exact"/>
              <w:ind w:firstLine="0" w:firstLineChars="0"/>
              <w:rPr>
                <w:rFonts w:hint="default" w:ascii="Times New Roman" w:hAnsi="Times New Roman" w:eastAsia="仿宋_GB2312" w:cs="Times New Roman"/>
                <w:b/>
                <w:bCs/>
                <w:kern w:val="0"/>
                <w:sz w:val="32"/>
                <w:szCs w:val="32"/>
                <w:u w:val="none"/>
              </w:rPr>
            </w:pPr>
            <w:r>
              <w:rPr>
                <w:rFonts w:hint="default" w:ascii="Times New Roman" w:hAnsi="Times New Roman" w:eastAsia="仿宋_GB2312" w:cs="Times New Roman"/>
                <w:b/>
                <w:bCs/>
                <w:kern w:val="0"/>
                <w:sz w:val="32"/>
                <w:szCs w:val="32"/>
                <w:u w:val="none"/>
              </w:rPr>
              <w:t>22. 工业设计驱动的新材料应用创新研究</w:t>
            </w:r>
          </w:p>
        </w:tc>
        <w:tc>
          <w:tcPr>
            <w:tcW w:w="10038" w:type="dxa"/>
            <w:vAlign w:val="center"/>
          </w:tcPr>
          <w:p w14:paraId="30087A57">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瞄准生物基与可降解材料、智能材料、复合材料与增材制造等前沿领域，研究材料特性与设计语言创新的协同机制。通过分析新材料在高端装备、消费电子等场景的应用瓶颈，提出“材料研发-设计验证-产业推广”的一体化路径，推动新材料技术快速转化为市场竞争力，支撑战略性新兴产业发展。</w:t>
            </w:r>
          </w:p>
        </w:tc>
        <w:tc>
          <w:tcPr>
            <w:tcW w:w="1476" w:type="dxa"/>
            <w:vAlign w:val="center"/>
          </w:tcPr>
          <w:p w14:paraId="504A2808">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2025.</w:t>
            </w:r>
            <w:r>
              <w:rPr>
                <w:rFonts w:hint="default" w:ascii="Times New Roman" w:hAnsi="Times New Roman" w:eastAsia="仿宋_GB2312" w:cs="Times New Roman"/>
                <w:kern w:val="0"/>
                <w:sz w:val="32"/>
                <w:szCs w:val="32"/>
                <w:u w:val="none"/>
                <w:lang w:val="en-US" w:eastAsia="zh-CN"/>
              </w:rPr>
              <w:t>10</w:t>
            </w:r>
            <w:r>
              <w:rPr>
                <w:rFonts w:hint="default" w:ascii="Times New Roman" w:hAnsi="Times New Roman" w:eastAsia="仿宋_GB2312" w:cs="Times New Roman"/>
                <w:kern w:val="0"/>
                <w:sz w:val="32"/>
                <w:szCs w:val="32"/>
                <w:u w:val="none"/>
              </w:rPr>
              <w:t>.15</w:t>
            </w:r>
          </w:p>
        </w:tc>
      </w:tr>
      <w:tr w14:paraId="7D343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4027" w:type="dxa"/>
            <w:gridSpan w:val="3"/>
            <w:vAlign w:val="center"/>
          </w:tcPr>
          <w:p w14:paraId="285FA2F4">
            <w:pPr>
              <w:ind w:firstLine="0" w:firstLineChars="0"/>
              <w:jc w:val="center"/>
              <w:rPr>
                <w:rFonts w:hint="default" w:ascii="Times New Roman" w:hAnsi="Times New Roman" w:eastAsia="黑体" w:cs="Times New Roman"/>
                <w:kern w:val="0"/>
                <w:sz w:val="32"/>
                <w:szCs w:val="32"/>
                <w:u w:val="none"/>
              </w:rPr>
            </w:pPr>
            <w:r>
              <w:rPr>
                <w:rFonts w:hint="default" w:ascii="Times New Roman" w:hAnsi="Times New Roman" w:eastAsia="黑体" w:cs="Times New Roman"/>
                <w:kern w:val="0"/>
                <w:sz w:val="32"/>
                <w:szCs w:val="32"/>
                <w:u w:val="none"/>
              </w:rPr>
              <w:t>研究方向五</w:t>
            </w:r>
          </w:p>
          <w:p w14:paraId="77FB4287">
            <w:pPr>
              <w:ind w:firstLine="0" w:firstLineChars="0"/>
              <w:jc w:val="center"/>
              <w:rPr>
                <w:rFonts w:hint="default" w:ascii="Times New Roman" w:hAnsi="Times New Roman" w:eastAsia="仿宋_GB2312" w:cs="Times New Roman"/>
                <w:kern w:val="0"/>
                <w:sz w:val="32"/>
                <w:szCs w:val="32"/>
                <w:u w:val="none"/>
              </w:rPr>
            </w:pPr>
            <w:r>
              <w:rPr>
                <w:rFonts w:hint="default" w:ascii="Times New Roman" w:hAnsi="Times New Roman" w:eastAsia="黑体" w:cs="Times New Roman"/>
                <w:kern w:val="0"/>
                <w:sz w:val="32"/>
                <w:szCs w:val="32"/>
                <w:u w:val="none"/>
              </w:rPr>
              <w:t>工业设计创新人才培养与产教融合模式研究</w:t>
            </w:r>
          </w:p>
        </w:tc>
      </w:tr>
      <w:tr w14:paraId="51C24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trPr>
        <w:tc>
          <w:tcPr>
            <w:tcW w:w="2513" w:type="dxa"/>
            <w:vAlign w:val="center"/>
          </w:tcPr>
          <w:p w14:paraId="574A5F4A">
            <w:pPr>
              <w:spacing w:line="520" w:lineRule="exact"/>
              <w:ind w:firstLine="0" w:firstLineChars="0"/>
              <w:rPr>
                <w:rFonts w:hint="default" w:ascii="Times New Roman" w:hAnsi="Times New Roman" w:eastAsia="仿宋_GB2312" w:cs="Times New Roman"/>
                <w:b/>
                <w:bCs/>
                <w:kern w:val="0"/>
                <w:sz w:val="32"/>
                <w:szCs w:val="32"/>
                <w:u w:val="none"/>
              </w:rPr>
            </w:pPr>
            <w:r>
              <w:rPr>
                <w:rFonts w:hint="default" w:ascii="Times New Roman" w:hAnsi="Times New Roman" w:eastAsia="仿宋_GB2312" w:cs="Times New Roman"/>
                <w:b/>
                <w:bCs/>
                <w:kern w:val="0"/>
                <w:sz w:val="32"/>
                <w:szCs w:val="32"/>
                <w:u w:val="none"/>
              </w:rPr>
              <w:t>23.工业设计产教融合创新发展模式的探索与实践</w:t>
            </w:r>
          </w:p>
        </w:tc>
        <w:tc>
          <w:tcPr>
            <w:tcW w:w="10038" w:type="dxa"/>
          </w:tcPr>
          <w:p w14:paraId="5B3684CE">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基于设计创新、产教融合背景，分析工业设计产业发展与学科建设、人才培养的协同机制，研究发挥高校教学职能、企业实战优势以及政府职能责任的实践路径。围绕工业设计教育的人才培养目标、工业设计企业的专业需求，探讨产教融合发展的工业设计实践体系。</w:t>
            </w:r>
          </w:p>
        </w:tc>
        <w:tc>
          <w:tcPr>
            <w:tcW w:w="1476" w:type="dxa"/>
            <w:vAlign w:val="center"/>
          </w:tcPr>
          <w:p w14:paraId="5591B464">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2025.</w:t>
            </w:r>
            <w:r>
              <w:rPr>
                <w:rFonts w:hint="default" w:ascii="Times New Roman" w:hAnsi="Times New Roman" w:eastAsia="仿宋_GB2312" w:cs="Times New Roman"/>
                <w:kern w:val="0"/>
                <w:sz w:val="32"/>
                <w:szCs w:val="32"/>
                <w:u w:val="none"/>
                <w:lang w:val="en-US" w:eastAsia="zh-CN"/>
              </w:rPr>
              <w:t>10</w:t>
            </w:r>
            <w:r>
              <w:rPr>
                <w:rFonts w:hint="default" w:ascii="Times New Roman" w:hAnsi="Times New Roman" w:eastAsia="仿宋_GB2312" w:cs="Times New Roman"/>
                <w:kern w:val="0"/>
                <w:sz w:val="32"/>
                <w:szCs w:val="32"/>
                <w:u w:val="none"/>
              </w:rPr>
              <w:t>.15</w:t>
            </w:r>
          </w:p>
        </w:tc>
      </w:tr>
      <w:tr w14:paraId="7BC2C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13" w:type="dxa"/>
            <w:vAlign w:val="center"/>
          </w:tcPr>
          <w:p w14:paraId="26187472">
            <w:pPr>
              <w:spacing w:line="520" w:lineRule="exact"/>
              <w:ind w:firstLine="0" w:firstLineChars="0"/>
              <w:rPr>
                <w:rFonts w:hint="default" w:ascii="Times New Roman" w:hAnsi="Times New Roman" w:eastAsia="仿宋_GB2312" w:cs="Times New Roman"/>
                <w:b/>
                <w:bCs/>
                <w:kern w:val="0"/>
                <w:sz w:val="32"/>
                <w:szCs w:val="32"/>
                <w:u w:val="none"/>
              </w:rPr>
            </w:pPr>
            <w:r>
              <w:rPr>
                <w:rFonts w:hint="default" w:ascii="Times New Roman" w:hAnsi="Times New Roman" w:eastAsia="仿宋_GB2312" w:cs="Times New Roman"/>
                <w:b/>
                <w:bCs/>
                <w:kern w:val="0"/>
                <w:sz w:val="32"/>
                <w:szCs w:val="32"/>
                <w:u w:val="none"/>
              </w:rPr>
              <w:t>24.</w:t>
            </w:r>
            <w:r>
              <w:rPr>
                <w:rFonts w:hint="default" w:ascii="Times New Roman" w:hAnsi="Times New Roman" w:eastAsia="仿宋_GB2312" w:cs="Times New Roman"/>
                <w:kern w:val="0"/>
                <w:sz w:val="32"/>
                <w:szCs w:val="32"/>
                <w:u w:val="none"/>
              </w:rPr>
              <w:t xml:space="preserve"> </w:t>
            </w:r>
            <w:r>
              <w:rPr>
                <w:rFonts w:hint="default" w:ascii="Times New Roman" w:hAnsi="Times New Roman" w:eastAsia="仿宋_GB2312" w:cs="Times New Roman"/>
                <w:b/>
                <w:bCs/>
                <w:kern w:val="0"/>
                <w:sz w:val="32"/>
                <w:szCs w:val="32"/>
                <w:u w:val="none"/>
              </w:rPr>
              <w:t>工业设计</w:t>
            </w:r>
            <w:r>
              <w:rPr>
                <w:rFonts w:hint="default" w:ascii="Times New Roman" w:hAnsi="Times New Roman" w:eastAsia="仿宋_GB2312" w:cs="Times New Roman"/>
                <w:b/>
                <w:bCs/>
                <w:kern w:val="0"/>
                <w:sz w:val="32"/>
                <w:szCs w:val="32"/>
                <w:u w:val="none"/>
                <w:lang w:val="en-US" w:eastAsia="zh-CN"/>
              </w:rPr>
              <w:t>人才培养及</w:t>
            </w:r>
            <w:r>
              <w:rPr>
                <w:rFonts w:hint="default" w:ascii="Times New Roman" w:hAnsi="Times New Roman" w:eastAsia="仿宋_GB2312" w:cs="Times New Roman"/>
                <w:b/>
                <w:bCs/>
                <w:kern w:val="0"/>
                <w:sz w:val="32"/>
                <w:szCs w:val="32"/>
                <w:u w:val="none"/>
              </w:rPr>
              <w:t>跨学科融合路径研究</w:t>
            </w:r>
          </w:p>
        </w:tc>
        <w:tc>
          <w:tcPr>
            <w:tcW w:w="10038" w:type="dxa"/>
          </w:tcPr>
          <w:p w14:paraId="133807DE">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立足新工科建设背景，聚焦工业设计教育中工程学、心理学、美学、商业管理等多学科交叉融合的机制与路径。通过分析国际前沿课程体系与产业需求，提出“设计+科技+人文”复合型课程模块设计原则，探索跨学科师资协作、实践项目共建、学分互认等协同机制，推动工业设计教育从单一技能培养向系统性创新思维塑造转型，为高校课程改革提供理论支撑与实践指南。</w:t>
            </w:r>
          </w:p>
        </w:tc>
        <w:tc>
          <w:tcPr>
            <w:tcW w:w="1476" w:type="dxa"/>
            <w:vAlign w:val="center"/>
          </w:tcPr>
          <w:p w14:paraId="679289F1">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2025.</w:t>
            </w:r>
            <w:r>
              <w:rPr>
                <w:rFonts w:hint="default" w:ascii="Times New Roman" w:hAnsi="Times New Roman" w:eastAsia="仿宋_GB2312" w:cs="Times New Roman"/>
                <w:kern w:val="0"/>
                <w:sz w:val="32"/>
                <w:szCs w:val="32"/>
                <w:u w:val="none"/>
                <w:lang w:val="en-US" w:eastAsia="zh-CN"/>
              </w:rPr>
              <w:t>10</w:t>
            </w:r>
            <w:r>
              <w:rPr>
                <w:rFonts w:hint="default" w:ascii="Times New Roman" w:hAnsi="Times New Roman" w:eastAsia="仿宋_GB2312" w:cs="Times New Roman"/>
                <w:kern w:val="0"/>
                <w:sz w:val="32"/>
                <w:szCs w:val="32"/>
                <w:u w:val="none"/>
              </w:rPr>
              <w:t>.15</w:t>
            </w:r>
          </w:p>
        </w:tc>
      </w:tr>
      <w:tr w14:paraId="54678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13" w:type="dxa"/>
            <w:vAlign w:val="center"/>
          </w:tcPr>
          <w:p w14:paraId="7A93C50C">
            <w:pPr>
              <w:spacing w:line="520" w:lineRule="exact"/>
              <w:ind w:firstLine="0" w:firstLineChars="0"/>
              <w:rPr>
                <w:rFonts w:hint="default" w:ascii="Times New Roman" w:hAnsi="Times New Roman" w:eastAsia="仿宋_GB2312" w:cs="Times New Roman"/>
                <w:b/>
                <w:bCs/>
                <w:kern w:val="0"/>
                <w:sz w:val="32"/>
                <w:szCs w:val="32"/>
                <w:u w:val="none"/>
              </w:rPr>
            </w:pPr>
            <w:r>
              <w:rPr>
                <w:rFonts w:hint="default" w:ascii="Times New Roman" w:hAnsi="Times New Roman" w:eastAsia="仿宋_GB2312" w:cs="Times New Roman"/>
                <w:b/>
                <w:bCs/>
                <w:kern w:val="0"/>
                <w:sz w:val="32"/>
                <w:szCs w:val="32"/>
                <w:u w:val="none"/>
              </w:rPr>
              <w:t>25.</w:t>
            </w:r>
            <w:r>
              <w:rPr>
                <w:rFonts w:hint="default" w:ascii="Times New Roman" w:hAnsi="Times New Roman" w:eastAsia="仿宋_GB2312" w:cs="Times New Roman"/>
                <w:kern w:val="0"/>
                <w:sz w:val="32"/>
                <w:szCs w:val="32"/>
                <w:u w:val="none"/>
              </w:rPr>
              <w:t xml:space="preserve"> </w:t>
            </w:r>
            <w:r>
              <w:rPr>
                <w:rFonts w:hint="default" w:ascii="Times New Roman" w:hAnsi="Times New Roman" w:eastAsia="仿宋_GB2312" w:cs="Times New Roman"/>
                <w:b/>
                <w:bCs/>
                <w:kern w:val="0"/>
                <w:sz w:val="32"/>
                <w:szCs w:val="32"/>
                <w:u w:val="none"/>
              </w:rPr>
              <w:t>工业设计</w:t>
            </w:r>
            <w:r>
              <w:rPr>
                <w:rFonts w:hint="default" w:ascii="Times New Roman" w:hAnsi="Times New Roman" w:eastAsia="仿宋_GB2312" w:cs="Times New Roman"/>
                <w:b/>
                <w:bCs/>
                <w:kern w:val="0"/>
                <w:sz w:val="32"/>
                <w:szCs w:val="32"/>
                <w:u w:val="none"/>
                <w:lang w:val="en-US" w:eastAsia="zh-CN"/>
              </w:rPr>
              <w:t>国际化</w:t>
            </w:r>
            <w:r>
              <w:rPr>
                <w:rFonts w:hint="default" w:ascii="Times New Roman" w:hAnsi="Times New Roman" w:eastAsia="仿宋_GB2312" w:cs="Times New Roman"/>
                <w:b/>
                <w:bCs/>
                <w:kern w:val="0"/>
                <w:sz w:val="32"/>
                <w:szCs w:val="32"/>
                <w:u w:val="none"/>
              </w:rPr>
              <w:t>人才</w:t>
            </w:r>
            <w:r>
              <w:rPr>
                <w:rFonts w:hint="default" w:ascii="Times New Roman" w:hAnsi="Times New Roman" w:eastAsia="仿宋_GB2312" w:cs="Times New Roman"/>
                <w:b/>
                <w:bCs/>
                <w:kern w:val="0"/>
                <w:sz w:val="32"/>
                <w:szCs w:val="32"/>
                <w:u w:val="none"/>
                <w:lang w:val="en-US" w:eastAsia="zh-CN"/>
              </w:rPr>
              <w:t>培养与合作模式</w:t>
            </w:r>
            <w:r>
              <w:rPr>
                <w:rFonts w:hint="default" w:ascii="Times New Roman" w:hAnsi="Times New Roman" w:eastAsia="仿宋_GB2312" w:cs="Times New Roman"/>
                <w:b/>
                <w:bCs/>
                <w:kern w:val="0"/>
                <w:sz w:val="32"/>
                <w:szCs w:val="32"/>
                <w:u w:val="none"/>
              </w:rPr>
              <w:t>研究</w:t>
            </w:r>
          </w:p>
        </w:tc>
        <w:tc>
          <w:tcPr>
            <w:tcW w:w="10038" w:type="dxa"/>
          </w:tcPr>
          <w:p w14:paraId="11FB4DAE">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围绕全球化竞争需求，研究工业设计人才跨文化沟通能力、国际标准认知能力及海外实践能力的培养路径。通过构建多种培养模式，提出多语言教学资源开发、国际认证体系对接、全球设计趋势研判等策略，助力人才深度参与国际分工合作，支撑中国工业设计品牌走向世界。</w:t>
            </w:r>
          </w:p>
        </w:tc>
        <w:tc>
          <w:tcPr>
            <w:tcW w:w="1476" w:type="dxa"/>
            <w:vAlign w:val="center"/>
          </w:tcPr>
          <w:p w14:paraId="70DFCA79">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2025.</w:t>
            </w:r>
            <w:r>
              <w:rPr>
                <w:rFonts w:hint="default" w:ascii="Times New Roman" w:hAnsi="Times New Roman" w:eastAsia="仿宋_GB2312" w:cs="Times New Roman"/>
                <w:kern w:val="0"/>
                <w:sz w:val="32"/>
                <w:szCs w:val="32"/>
                <w:u w:val="none"/>
                <w:lang w:val="en-US" w:eastAsia="zh-CN"/>
              </w:rPr>
              <w:t>10</w:t>
            </w:r>
            <w:r>
              <w:rPr>
                <w:rFonts w:hint="default" w:ascii="Times New Roman" w:hAnsi="Times New Roman" w:eastAsia="仿宋_GB2312" w:cs="Times New Roman"/>
                <w:kern w:val="0"/>
                <w:sz w:val="32"/>
                <w:szCs w:val="32"/>
                <w:u w:val="none"/>
              </w:rPr>
              <w:t>.15</w:t>
            </w:r>
          </w:p>
        </w:tc>
      </w:tr>
      <w:tr w14:paraId="6703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13" w:type="dxa"/>
            <w:vAlign w:val="center"/>
          </w:tcPr>
          <w:p w14:paraId="21F28E78">
            <w:pPr>
              <w:spacing w:line="520" w:lineRule="exact"/>
              <w:ind w:firstLine="0" w:firstLineChars="0"/>
              <w:rPr>
                <w:rFonts w:hint="default" w:ascii="Times New Roman" w:hAnsi="Times New Roman" w:eastAsia="仿宋_GB2312" w:cs="Times New Roman"/>
                <w:b/>
                <w:bCs/>
                <w:kern w:val="0"/>
                <w:sz w:val="32"/>
                <w:szCs w:val="32"/>
                <w:u w:val="none"/>
              </w:rPr>
            </w:pPr>
            <w:r>
              <w:rPr>
                <w:rFonts w:hint="default" w:ascii="Times New Roman" w:hAnsi="Times New Roman" w:eastAsia="仿宋_GB2312" w:cs="Times New Roman"/>
                <w:b/>
                <w:bCs/>
                <w:kern w:val="0"/>
                <w:sz w:val="32"/>
                <w:szCs w:val="32"/>
                <w:u w:val="none"/>
              </w:rPr>
              <w:t>26.</w:t>
            </w:r>
            <w:r>
              <w:rPr>
                <w:rFonts w:hint="default" w:ascii="Times New Roman" w:hAnsi="Times New Roman" w:eastAsia="仿宋_GB2312" w:cs="Times New Roman"/>
                <w:kern w:val="0"/>
                <w:sz w:val="32"/>
                <w:szCs w:val="32"/>
                <w:u w:val="none"/>
              </w:rPr>
              <w:t xml:space="preserve"> </w:t>
            </w:r>
            <w:r>
              <w:rPr>
                <w:rFonts w:hint="default" w:ascii="Times New Roman" w:hAnsi="Times New Roman" w:eastAsia="仿宋_GB2312" w:cs="Times New Roman"/>
                <w:b/>
                <w:bCs/>
                <w:kern w:val="0"/>
                <w:sz w:val="32"/>
                <w:szCs w:val="32"/>
                <w:u w:val="none"/>
              </w:rPr>
              <w:t>工业设计人才职业发展评价体系研究</w:t>
            </w:r>
          </w:p>
        </w:tc>
        <w:tc>
          <w:tcPr>
            <w:tcW w:w="10038" w:type="dxa"/>
          </w:tcPr>
          <w:p w14:paraId="715056FA">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针对设计人才职业成长痛点，研究涵盖专业技能认证、创新成果评估、职业伦理考核的多维度评价标准。通过建立动态跟踪数据库与能力雷达图模型，提出职称评定优化、继续教育、行业人才白皮书等政策工具，构建覆盖职业全周期的评价与激励机制，为政府部门、行业协会、企业用人提供科学决策依据。</w:t>
            </w:r>
          </w:p>
        </w:tc>
        <w:tc>
          <w:tcPr>
            <w:tcW w:w="1476" w:type="dxa"/>
            <w:vAlign w:val="center"/>
          </w:tcPr>
          <w:p w14:paraId="3225964E">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2025.</w:t>
            </w:r>
            <w:r>
              <w:rPr>
                <w:rFonts w:hint="default" w:ascii="Times New Roman" w:hAnsi="Times New Roman" w:eastAsia="仿宋_GB2312" w:cs="Times New Roman"/>
                <w:kern w:val="0"/>
                <w:sz w:val="32"/>
                <w:szCs w:val="32"/>
                <w:u w:val="none"/>
                <w:lang w:val="en-US" w:eastAsia="zh-CN"/>
              </w:rPr>
              <w:t>10</w:t>
            </w:r>
            <w:r>
              <w:rPr>
                <w:rFonts w:hint="default" w:ascii="Times New Roman" w:hAnsi="Times New Roman" w:eastAsia="仿宋_GB2312" w:cs="Times New Roman"/>
                <w:kern w:val="0"/>
                <w:sz w:val="32"/>
                <w:szCs w:val="32"/>
                <w:u w:val="none"/>
              </w:rPr>
              <w:t>.15</w:t>
            </w:r>
          </w:p>
        </w:tc>
      </w:tr>
      <w:tr w14:paraId="5665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027" w:type="dxa"/>
            <w:gridSpan w:val="3"/>
          </w:tcPr>
          <w:p w14:paraId="1CCC6549">
            <w:pPr>
              <w:ind w:firstLine="0" w:firstLineChars="0"/>
              <w:jc w:val="center"/>
              <w:rPr>
                <w:rFonts w:hint="default" w:ascii="Times New Roman" w:hAnsi="Times New Roman" w:eastAsia="黑体" w:cs="Times New Roman"/>
                <w:kern w:val="0"/>
                <w:sz w:val="32"/>
                <w:szCs w:val="32"/>
                <w:u w:val="none"/>
              </w:rPr>
            </w:pPr>
            <w:r>
              <w:rPr>
                <w:rFonts w:hint="default" w:ascii="Times New Roman" w:hAnsi="Times New Roman" w:eastAsia="黑体" w:cs="Times New Roman"/>
                <w:kern w:val="0"/>
                <w:sz w:val="32"/>
                <w:szCs w:val="32"/>
                <w:u w:val="none"/>
              </w:rPr>
              <w:t>研究方向六</w:t>
            </w:r>
          </w:p>
          <w:p w14:paraId="68566B79">
            <w:pPr>
              <w:ind w:firstLine="0" w:firstLineChars="0"/>
              <w:jc w:val="center"/>
              <w:rPr>
                <w:rFonts w:hint="default" w:ascii="Times New Roman" w:hAnsi="Times New Roman" w:eastAsia="仿宋_GB2312" w:cs="Times New Roman"/>
                <w:b/>
                <w:bCs/>
                <w:kern w:val="0"/>
                <w:sz w:val="32"/>
                <w:szCs w:val="32"/>
                <w:u w:val="none"/>
              </w:rPr>
            </w:pPr>
            <w:r>
              <w:rPr>
                <w:rFonts w:hint="default" w:ascii="Times New Roman" w:hAnsi="Times New Roman" w:eastAsia="黑体" w:cs="Times New Roman"/>
                <w:kern w:val="0"/>
                <w:sz w:val="32"/>
                <w:szCs w:val="32"/>
                <w:u w:val="none"/>
              </w:rPr>
              <w:t>工业设计协同创新平台与成果转化机制研究</w:t>
            </w:r>
          </w:p>
        </w:tc>
      </w:tr>
      <w:tr w14:paraId="37DC5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2513" w:type="dxa"/>
            <w:vAlign w:val="center"/>
          </w:tcPr>
          <w:p w14:paraId="1E22A34A">
            <w:pPr>
              <w:spacing w:line="520" w:lineRule="exact"/>
              <w:ind w:firstLine="0" w:firstLineChars="0"/>
              <w:rPr>
                <w:rFonts w:hint="default" w:ascii="Times New Roman" w:hAnsi="Times New Roman" w:eastAsia="仿宋_GB2312" w:cs="Times New Roman"/>
                <w:b/>
                <w:bCs/>
                <w:kern w:val="0"/>
                <w:sz w:val="32"/>
                <w:szCs w:val="32"/>
                <w:u w:val="none"/>
              </w:rPr>
            </w:pPr>
            <w:r>
              <w:rPr>
                <w:rFonts w:hint="default" w:ascii="Times New Roman" w:hAnsi="Times New Roman" w:eastAsia="仿宋_GB2312" w:cs="Times New Roman"/>
                <w:b/>
                <w:bCs/>
                <w:kern w:val="0"/>
                <w:sz w:val="32"/>
                <w:szCs w:val="32"/>
                <w:u w:val="none"/>
              </w:rPr>
              <w:t>27.</w:t>
            </w:r>
            <w:r>
              <w:rPr>
                <w:rFonts w:hint="default" w:ascii="Times New Roman" w:hAnsi="Times New Roman" w:eastAsia="仿宋_GB2312" w:cs="Times New Roman"/>
                <w:kern w:val="0"/>
                <w:sz w:val="32"/>
                <w:szCs w:val="32"/>
                <w:u w:val="none"/>
              </w:rPr>
              <w:t xml:space="preserve"> </w:t>
            </w:r>
            <w:r>
              <w:rPr>
                <w:rFonts w:hint="default" w:ascii="Times New Roman" w:hAnsi="Times New Roman" w:eastAsia="仿宋_GB2312" w:cs="Times New Roman"/>
                <w:b/>
                <w:bCs/>
                <w:kern w:val="0"/>
                <w:sz w:val="32"/>
                <w:szCs w:val="32"/>
                <w:u w:val="none"/>
              </w:rPr>
              <w:t>工业设计活动资源整合与协作平台构建研究</w:t>
            </w:r>
          </w:p>
        </w:tc>
        <w:tc>
          <w:tcPr>
            <w:tcW w:w="10038" w:type="dxa"/>
            <w:vAlign w:val="center"/>
          </w:tcPr>
          <w:p w14:paraId="31DF1969">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聚焦论坛、展览、赛事、培训等大型活动平台，研究国内外高校、协会、企业等设计资源的整合机制与协作路径。通过分析资源对接瓶颈，提出跨机构合作框架、项目孵化流程优化方案及长效合作机制，推动工业设计创新要素高效流动，构建覆盖“</w:t>
            </w:r>
            <w:r>
              <w:rPr>
                <w:rFonts w:hint="default" w:ascii="Times New Roman" w:hAnsi="Times New Roman" w:eastAsia="仿宋_GB2312" w:cs="Times New Roman"/>
                <w:kern w:val="0"/>
                <w:sz w:val="32"/>
                <w:szCs w:val="32"/>
                <w:u w:val="none"/>
                <w:lang w:val="en-US" w:eastAsia="zh-CN"/>
              </w:rPr>
              <w:t>设计创新-</w:t>
            </w:r>
            <w:r>
              <w:rPr>
                <w:rFonts w:hint="default" w:ascii="Times New Roman" w:hAnsi="Times New Roman" w:eastAsia="仿宋_GB2312" w:cs="Times New Roman"/>
                <w:kern w:val="0"/>
                <w:sz w:val="32"/>
                <w:szCs w:val="32"/>
                <w:u w:val="none"/>
              </w:rPr>
              <w:t>技术研发-成果转化-市场应用”的产业协同生态与对接合作的实践路径，助力工业设计全链条价值提升。</w:t>
            </w:r>
          </w:p>
        </w:tc>
        <w:tc>
          <w:tcPr>
            <w:tcW w:w="1476" w:type="dxa"/>
            <w:vAlign w:val="center"/>
          </w:tcPr>
          <w:p w14:paraId="56DEAE94">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2025.</w:t>
            </w:r>
            <w:r>
              <w:rPr>
                <w:rFonts w:hint="default" w:ascii="Times New Roman" w:hAnsi="Times New Roman" w:eastAsia="仿宋_GB2312" w:cs="Times New Roman"/>
                <w:kern w:val="0"/>
                <w:sz w:val="32"/>
                <w:szCs w:val="32"/>
                <w:u w:val="none"/>
                <w:lang w:val="en-US" w:eastAsia="zh-CN"/>
              </w:rPr>
              <w:t>7</w:t>
            </w:r>
            <w:r>
              <w:rPr>
                <w:rFonts w:hint="default" w:ascii="Times New Roman" w:hAnsi="Times New Roman" w:eastAsia="仿宋_GB2312" w:cs="Times New Roman"/>
                <w:kern w:val="0"/>
                <w:sz w:val="32"/>
                <w:szCs w:val="32"/>
                <w:u w:val="none"/>
              </w:rPr>
              <w:t>.</w:t>
            </w:r>
            <w:r>
              <w:rPr>
                <w:rFonts w:hint="default" w:ascii="Times New Roman" w:hAnsi="Times New Roman" w:eastAsia="仿宋_GB2312" w:cs="Times New Roman"/>
                <w:kern w:val="0"/>
                <w:sz w:val="32"/>
                <w:szCs w:val="32"/>
                <w:u w:val="none"/>
                <w:lang w:val="en-US" w:eastAsia="zh-CN"/>
              </w:rPr>
              <w:t>30</w:t>
            </w:r>
          </w:p>
        </w:tc>
      </w:tr>
      <w:tr w14:paraId="1585D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trPr>
        <w:tc>
          <w:tcPr>
            <w:tcW w:w="2513" w:type="dxa"/>
            <w:vAlign w:val="center"/>
          </w:tcPr>
          <w:p w14:paraId="1A1CB37D">
            <w:pPr>
              <w:spacing w:line="520" w:lineRule="exact"/>
              <w:ind w:firstLine="0" w:firstLineChars="0"/>
              <w:rPr>
                <w:rFonts w:hint="default" w:ascii="Times New Roman" w:hAnsi="Times New Roman" w:eastAsia="仿宋_GB2312" w:cs="Times New Roman"/>
                <w:b/>
                <w:bCs/>
                <w:kern w:val="0"/>
                <w:sz w:val="32"/>
                <w:szCs w:val="32"/>
                <w:u w:val="none"/>
              </w:rPr>
            </w:pPr>
            <w:r>
              <w:rPr>
                <w:rFonts w:hint="default" w:ascii="Times New Roman" w:hAnsi="Times New Roman" w:eastAsia="仿宋_GB2312" w:cs="Times New Roman"/>
                <w:b/>
                <w:bCs/>
                <w:kern w:val="0"/>
                <w:sz w:val="32"/>
                <w:szCs w:val="32"/>
                <w:u w:val="none"/>
              </w:rPr>
              <w:t>28. 工业设计论坛成果转化机制研究</w:t>
            </w:r>
          </w:p>
        </w:tc>
        <w:tc>
          <w:tcPr>
            <w:tcW w:w="10038" w:type="dxa"/>
            <w:vAlign w:val="center"/>
          </w:tcPr>
          <w:p w14:paraId="5A1E7C41">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立足产学研深度融合目标，研究论坛议题设置与成果落地的协同路径。通过设计“技术痛点征集-联合攻关倡议-政策建议反馈”等议题框架，提出项目合作签约、产业联盟组建等转化工具，推动论坛从观点交流向实质合作升级，强化工业设计创新生态的实践牵引力。</w:t>
            </w:r>
          </w:p>
        </w:tc>
        <w:tc>
          <w:tcPr>
            <w:tcW w:w="1476" w:type="dxa"/>
            <w:vAlign w:val="center"/>
          </w:tcPr>
          <w:p w14:paraId="5E91AC24">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2025.</w:t>
            </w:r>
            <w:r>
              <w:rPr>
                <w:rFonts w:hint="default" w:ascii="Times New Roman" w:hAnsi="Times New Roman" w:eastAsia="仿宋_GB2312" w:cs="Times New Roman"/>
                <w:kern w:val="0"/>
                <w:sz w:val="32"/>
                <w:szCs w:val="32"/>
                <w:u w:val="none"/>
                <w:lang w:val="en-US" w:eastAsia="zh-CN"/>
              </w:rPr>
              <w:t>7</w:t>
            </w:r>
            <w:r>
              <w:rPr>
                <w:rFonts w:hint="default" w:ascii="Times New Roman" w:hAnsi="Times New Roman" w:eastAsia="仿宋_GB2312" w:cs="Times New Roman"/>
                <w:kern w:val="0"/>
                <w:sz w:val="32"/>
                <w:szCs w:val="32"/>
                <w:u w:val="none"/>
              </w:rPr>
              <w:t>.</w:t>
            </w:r>
            <w:r>
              <w:rPr>
                <w:rFonts w:hint="default" w:ascii="Times New Roman" w:hAnsi="Times New Roman" w:eastAsia="仿宋_GB2312" w:cs="Times New Roman"/>
                <w:kern w:val="0"/>
                <w:sz w:val="32"/>
                <w:szCs w:val="32"/>
                <w:u w:val="none"/>
                <w:lang w:val="en-US" w:eastAsia="zh-CN"/>
              </w:rPr>
              <w:t>30</w:t>
            </w:r>
          </w:p>
        </w:tc>
      </w:tr>
      <w:tr w14:paraId="3967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513" w:type="dxa"/>
            <w:vAlign w:val="center"/>
          </w:tcPr>
          <w:p w14:paraId="4B4E8245">
            <w:pPr>
              <w:spacing w:line="520" w:lineRule="exact"/>
              <w:ind w:firstLine="0" w:firstLineChars="0"/>
              <w:rPr>
                <w:rFonts w:hint="default" w:ascii="Times New Roman" w:hAnsi="Times New Roman" w:eastAsia="仿宋_GB2312" w:cs="Times New Roman"/>
                <w:b/>
                <w:bCs/>
                <w:kern w:val="0"/>
                <w:sz w:val="32"/>
                <w:szCs w:val="32"/>
                <w:u w:val="none"/>
              </w:rPr>
            </w:pPr>
            <w:r>
              <w:rPr>
                <w:rFonts w:hint="default" w:ascii="Times New Roman" w:hAnsi="Times New Roman" w:eastAsia="仿宋_GB2312" w:cs="Times New Roman"/>
                <w:b/>
                <w:bCs/>
                <w:kern w:val="0"/>
                <w:sz w:val="32"/>
                <w:szCs w:val="32"/>
                <w:u w:val="none"/>
              </w:rPr>
              <w:t>29. 工业设计展览平台资源整合路径研究</w:t>
            </w:r>
          </w:p>
        </w:tc>
        <w:tc>
          <w:tcPr>
            <w:tcW w:w="10038" w:type="dxa"/>
            <w:vAlign w:val="center"/>
          </w:tcPr>
          <w:p w14:paraId="1DE86464">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聚焦展览资源的高效利用，以中国国际工业设计博览会为例，研究参展企业、观众、媒体等多方主体的交互价值评估与协同机制。通过分析展区规划、数字化展示技术应用及会后资源对接模式，提出线上线下融合策展方案、长效合作网络构建策略，最大化展览平台的产业链接与商业转化效能，助力区域产业集群竞争力提升。</w:t>
            </w:r>
          </w:p>
        </w:tc>
        <w:tc>
          <w:tcPr>
            <w:tcW w:w="1476" w:type="dxa"/>
            <w:vAlign w:val="center"/>
          </w:tcPr>
          <w:p w14:paraId="77600334">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2025.</w:t>
            </w:r>
            <w:r>
              <w:rPr>
                <w:rFonts w:hint="default" w:ascii="Times New Roman" w:hAnsi="Times New Roman" w:eastAsia="仿宋_GB2312" w:cs="Times New Roman"/>
                <w:kern w:val="0"/>
                <w:sz w:val="32"/>
                <w:szCs w:val="32"/>
                <w:u w:val="none"/>
                <w:lang w:val="en-US" w:eastAsia="zh-CN"/>
              </w:rPr>
              <w:t>7</w:t>
            </w:r>
            <w:r>
              <w:rPr>
                <w:rFonts w:hint="default" w:ascii="Times New Roman" w:hAnsi="Times New Roman" w:eastAsia="仿宋_GB2312" w:cs="Times New Roman"/>
                <w:kern w:val="0"/>
                <w:sz w:val="32"/>
                <w:szCs w:val="32"/>
                <w:u w:val="none"/>
              </w:rPr>
              <w:t>.</w:t>
            </w:r>
            <w:r>
              <w:rPr>
                <w:rFonts w:hint="default" w:ascii="Times New Roman" w:hAnsi="Times New Roman" w:eastAsia="仿宋_GB2312" w:cs="Times New Roman"/>
                <w:kern w:val="0"/>
                <w:sz w:val="32"/>
                <w:szCs w:val="32"/>
                <w:u w:val="none"/>
                <w:lang w:val="en-US" w:eastAsia="zh-CN"/>
              </w:rPr>
              <w:t>30</w:t>
            </w:r>
          </w:p>
        </w:tc>
      </w:tr>
      <w:tr w14:paraId="0B754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2513" w:type="dxa"/>
            <w:vAlign w:val="center"/>
          </w:tcPr>
          <w:p w14:paraId="5D8550A4">
            <w:pPr>
              <w:spacing w:line="520" w:lineRule="exact"/>
              <w:ind w:firstLine="0" w:firstLineChars="0"/>
              <w:rPr>
                <w:rFonts w:hint="default" w:ascii="Times New Roman" w:hAnsi="Times New Roman" w:eastAsia="仿宋_GB2312" w:cs="Times New Roman"/>
                <w:b/>
                <w:bCs/>
                <w:kern w:val="0"/>
                <w:sz w:val="32"/>
                <w:szCs w:val="32"/>
                <w:u w:val="none"/>
              </w:rPr>
            </w:pPr>
            <w:r>
              <w:rPr>
                <w:rFonts w:hint="default" w:ascii="Times New Roman" w:hAnsi="Times New Roman" w:eastAsia="仿宋_GB2312" w:cs="Times New Roman"/>
                <w:b/>
                <w:bCs/>
                <w:kern w:val="0"/>
                <w:sz w:val="32"/>
                <w:szCs w:val="32"/>
                <w:u w:val="none"/>
              </w:rPr>
              <w:t>30.工业设计赛事成果产业化支持机制研究</w:t>
            </w:r>
          </w:p>
        </w:tc>
        <w:tc>
          <w:tcPr>
            <w:tcW w:w="10038" w:type="dxa"/>
            <w:vAlign w:val="center"/>
          </w:tcPr>
          <w:p w14:paraId="5E737CBE">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针对工业设计赛事获奖作品产业化落地难问题，研究知识产权保护、资本对接、制造资源匹配等关键环节的协同机制。通过设计“赛事-企业-政府”三方联动的成果转化路径，提出技术验证平台建设等方案，加速创意成果向市场竞争力转化，强化赛事对产业升级的实际赋能作用。</w:t>
            </w:r>
          </w:p>
        </w:tc>
        <w:tc>
          <w:tcPr>
            <w:tcW w:w="1476" w:type="dxa"/>
            <w:vAlign w:val="center"/>
          </w:tcPr>
          <w:p w14:paraId="0F8564B6">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2025.</w:t>
            </w:r>
            <w:r>
              <w:rPr>
                <w:rFonts w:hint="default" w:ascii="Times New Roman" w:hAnsi="Times New Roman" w:eastAsia="仿宋_GB2312" w:cs="Times New Roman"/>
                <w:kern w:val="0"/>
                <w:sz w:val="32"/>
                <w:szCs w:val="32"/>
                <w:u w:val="none"/>
                <w:lang w:val="en-US" w:eastAsia="zh-CN"/>
              </w:rPr>
              <w:t>7</w:t>
            </w:r>
            <w:r>
              <w:rPr>
                <w:rFonts w:hint="default" w:ascii="Times New Roman" w:hAnsi="Times New Roman" w:eastAsia="仿宋_GB2312" w:cs="Times New Roman"/>
                <w:kern w:val="0"/>
                <w:sz w:val="32"/>
                <w:szCs w:val="32"/>
                <w:u w:val="none"/>
              </w:rPr>
              <w:t>.</w:t>
            </w:r>
            <w:r>
              <w:rPr>
                <w:rFonts w:hint="default" w:ascii="Times New Roman" w:hAnsi="Times New Roman" w:eastAsia="仿宋_GB2312" w:cs="Times New Roman"/>
                <w:kern w:val="0"/>
                <w:sz w:val="32"/>
                <w:szCs w:val="32"/>
                <w:u w:val="none"/>
                <w:lang w:val="en-US" w:eastAsia="zh-CN"/>
              </w:rPr>
              <w:t>30</w:t>
            </w:r>
          </w:p>
        </w:tc>
      </w:tr>
      <w:tr w14:paraId="53DD7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513" w:type="dxa"/>
            <w:vAlign w:val="center"/>
          </w:tcPr>
          <w:p w14:paraId="2DEC74DE">
            <w:pPr>
              <w:spacing w:line="520" w:lineRule="exact"/>
              <w:ind w:firstLine="0" w:firstLineChars="0"/>
              <w:rPr>
                <w:rFonts w:hint="default" w:ascii="Times New Roman" w:hAnsi="Times New Roman" w:eastAsia="仿宋_GB2312" w:cs="Times New Roman"/>
                <w:b/>
                <w:bCs/>
                <w:kern w:val="0"/>
                <w:sz w:val="32"/>
                <w:szCs w:val="32"/>
                <w:u w:val="none"/>
              </w:rPr>
            </w:pPr>
            <w:r>
              <w:rPr>
                <w:rFonts w:hint="default" w:ascii="Times New Roman" w:hAnsi="Times New Roman" w:eastAsia="仿宋_GB2312" w:cs="Times New Roman"/>
                <w:b/>
                <w:bCs/>
                <w:kern w:val="0"/>
                <w:sz w:val="32"/>
                <w:szCs w:val="32"/>
                <w:u w:val="none"/>
              </w:rPr>
              <w:t>31. 工业设计培训课程与产业需求衔接研究</w:t>
            </w:r>
          </w:p>
        </w:tc>
        <w:tc>
          <w:tcPr>
            <w:tcW w:w="10038" w:type="dxa"/>
            <w:vAlign w:val="center"/>
          </w:tcPr>
          <w:p w14:paraId="634C2DBB">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围绕企业创新能力提升（人工智能、数字化转型、绿色设计等）新兴需求，研究培训课程开发与产业技术升级的动态匹配机制。通过构建“需求调研-模块化课程设计-技能认证”闭环体系，提出分层分类培训方案、校企联合授课模式及效果跟踪评估工具，推动人才培养精准对接行业痛点，提升工业设计人力资源供给质量。</w:t>
            </w:r>
          </w:p>
        </w:tc>
        <w:tc>
          <w:tcPr>
            <w:tcW w:w="1476" w:type="dxa"/>
            <w:vAlign w:val="center"/>
          </w:tcPr>
          <w:p w14:paraId="7C834AE7">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2025.</w:t>
            </w:r>
            <w:r>
              <w:rPr>
                <w:rFonts w:hint="default" w:ascii="Times New Roman" w:hAnsi="Times New Roman" w:eastAsia="仿宋_GB2312" w:cs="Times New Roman"/>
                <w:kern w:val="0"/>
                <w:sz w:val="32"/>
                <w:szCs w:val="32"/>
                <w:u w:val="none"/>
                <w:lang w:val="en-US" w:eastAsia="zh-CN"/>
              </w:rPr>
              <w:t>7</w:t>
            </w:r>
            <w:r>
              <w:rPr>
                <w:rFonts w:hint="default" w:ascii="Times New Roman" w:hAnsi="Times New Roman" w:eastAsia="仿宋_GB2312" w:cs="Times New Roman"/>
                <w:kern w:val="0"/>
                <w:sz w:val="32"/>
                <w:szCs w:val="32"/>
                <w:u w:val="none"/>
              </w:rPr>
              <w:t>.</w:t>
            </w:r>
            <w:r>
              <w:rPr>
                <w:rFonts w:hint="default" w:ascii="Times New Roman" w:hAnsi="Times New Roman" w:eastAsia="仿宋_GB2312" w:cs="Times New Roman"/>
                <w:kern w:val="0"/>
                <w:sz w:val="32"/>
                <w:szCs w:val="32"/>
                <w:u w:val="none"/>
                <w:lang w:val="en-US" w:eastAsia="zh-CN"/>
              </w:rPr>
              <w:t>30</w:t>
            </w:r>
          </w:p>
        </w:tc>
      </w:tr>
      <w:tr w14:paraId="4DCDE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513" w:type="dxa"/>
            <w:vAlign w:val="center"/>
          </w:tcPr>
          <w:p w14:paraId="721067DF">
            <w:pPr>
              <w:spacing w:line="520" w:lineRule="exact"/>
              <w:ind w:firstLine="0" w:firstLineChars="0"/>
              <w:rPr>
                <w:rFonts w:hint="default" w:ascii="Times New Roman" w:hAnsi="Times New Roman" w:eastAsia="仿宋_GB2312" w:cs="Times New Roman"/>
                <w:b/>
                <w:bCs/>
                <w:kern w:val="0"/>
                <w:sz w:val="32"/>
                <w:szCs w:val="32"/>
                <w:u w:val="none"/>
              </w:rPr>
            </w:pPr>
            <w:r>
              <w:rPr>
                <w:rFonts w:hint="default" w:ascii="Times New Roman" w:hAnsi="Times New Roman" w:eastAsia="仿宋_GB2312" w:cs="Times New Roman"/>
                <w:b/>
                <w:bCs/>
                <w:kern w:val="0"/>
                <w:sz w:val="32"/>
                <w:szCs w:val="32"/>
                <w:u w:val="none"/>
              </w:rPr>
              <w:t>32. 工业设计</w:t>
            </w:r>
            <w:r>
              <w:rPr>
                <w:rFonts w:hint="default" w:ascii="Times New Roman" w:hAnsi="Times New Roman" w:eastAsia="仿宋_GB2312" w:cs="Times New Roman"/>
                <w:b/>
                <w:bCs/>
                <w:kern w:val="0"/>
                <w:sz w:val="32"/>
                <w:szCs w:val="32"/>
                <w:u w:val="none"/>
                <w:lang w:val="en-US" w:eastAsia="zh-CN"/>
              </w:rPr>
              <w:t>品牌</w:t>
            </w:r>
            <w:r>
              <w:rPr>
                <w:rFonts w:hint="default" w:ascii="Times New Roman" w:hAnsi="Times New Roman" w:eastAsia="仿宋_GB2312" w:cs="Times New Roman"/>
                <w:b/>
                <w:bCs/>
                <w:kern w:val="0"/>
                <w:sz w:val="32"/>
                <w:szCs w:val="32"/>
                <w:u w:val="none"/>
              </w:rPr>
              <w:t>活动影响力评价与传播创新研究</w:t>
            </w:r>
          </w:p>
        </w:tc>
        <w:tc>
          <w:tcPr>
            <w:tcW w:w="10038" w:type="dxa"/>
            <w:vAlign w:val="center"/>
          </w:tcPr>
          <w:p w14:paraId="7A6DD889">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构建覆盖媒体曝光度、企业参与度、行业口碑的多维度品牌影响力评估模型，研究新媒体传播、国际联动、长尾内容运营等创新宣传策略。通过量化活动IP价值与传播效能，提出品牌升级路径与可持续运营方案，助力工业设计活动从“行业盛会”向“全球标杆”跨越，增强中国设计的国际话语权。</w:t>
            </w:r>
          </w:p>
        </w:tc>
        <w:tc>
          <w:tcPr>
            <w:tcW w:w="1476" w:type="dxa"/>
            <w:vAlign w:val="center"/>
          </w:tcPr>
          <w:p w14:paraId="6318E9CB">
            <w:pPr>
              <w:spacing w:line="520" w:lineRule="exact"/>
              <w:ind w:firstLine="0" w:firstLineChars="0"/>
              <w:rPr>
                <w:rFonts w:hint="default" w:ascii="Times New Roman" w:hAnsi="Times New Roman" w:eastAsia="仿宋_GB2312" w:cs="Times New Roman"/>
                <w:kern w:val="0"/>
                <w:sz w:val="32"/>
                <w:szCs w:val="32"/>
                <w:u w:val="none"/>
              </w:rPr>
            </w:pPr>
            <w:r>
              <w:rPr>
                <w:rFonts w:hint="default" w:ascii="Times New Roman" w:hAnsi="Times New Roman" w:eastAsia="仿宋_GB2312" w:cs="Times New Roman"/>
                <w:kern w:val="0"/>
                <w:sz w:val="32"/>
                <w:szCs w:val="32"/>
                <w:u w:val="none"/>
              </w:rPr>
              <w:t>2025.</w:t>
            </w:r>
            <w:r>
              <w:rPr>
                <w:rFonts w:hint="default" w:ascii="Times New Roman" w:hAnsi="Times New Roman" w:eastAsia="仿宋_GB2312" w:cs="Times New Roman"/>
                <w:kern w:val="0"/>
                <w:sz w:val="32"/>
                <w:szCs w:val="32"/>
                <w:u w:val="none"/>
                <w:lang w:val="en-US" w:eastAsia="zh-CN"/>
              </w:rPr>
              <w:t>7</w:t>
            </w:r>
            <w:r>
              <w:rPr>
                <w:rFonts w:hint="default" w:ascii="Times New Roman" w:hAnsi="Times New Roman" w:eastAsia="仿宋_GB2312" w:cs="Times New Roman"/>
                <w:kern w:val="0"/>
                <w:sz w:val="32"/>
                <w:szCs w:val="32"/>
                <w:u w:val="none"/>
              </w:rPr>
              <w:t>.</w:t>
            </w:r>
            <w:r>
              <w:rPr>
                <w:rFonts w:hint="default" w:ascii="Times New Roman" w:hAnsi="Times New Roman" w:eastAsia="仿宋_GB2312" w:cs="Times New Roman"/>
                <w:kern w:val="0"/>
                <w:sz w:val="32"/>
                <w:szCs w:val="32"/>
                <w:u w:val="none"/>
                <w:lang w:val="en-US" w:eastAsia="zh-CN"/>
              </w:rPr>
              <w:t>30</w:t>
            </w:r>
          </w:p>
        </w:tc>
      </w:tr>
    </w:tbl>
    <w:p w14:paraId="6FCFCC9C">
      <w:pPr>
        <w:spacing w:line="240" w:lineRule="auto"/>
        <w:ind w:firstLine="0" w:firstLineChars="0"/>
        <w:rPr>
          <w:rFonts w:eastAsia="宋体" w:cs="Times New Roman"/>
          <w:sz w:val="21"/>
          <w:u w:val="none"/>
        </w:rPr>
      </w:pPr>
    </w:p>
    <w:p w14:paraId="11E97157">
      <w:pPr>
        <w:spacing w:line="240" w:lineRule="auto"/>
        <w:ind w:firstLine="0" w:firstLineChars="0"/>
        <w:rPr>
          <w:rFonts w:eastAsia="宋体" w:cs="Times New Roman"/>
          <w:sz w:val="21"/>
          <w:u w:val="none"/>
        </w:rPr>
      </w:pPr>
    </w:p>
    <w:p w14:paraId="2BC4FC17">
      <w:pPr>
        <w:ind w:firstLine="640"/>
        <w:rPr>
          <w:u w:val="none"/>
        </w:rPr>
      </w:pPr>
    </w:p>
    <w:p w14:paraId="2C901CB3">
      <w:pPr>
        <w:rPr>
          <w:rFonts w:ascii="Times New Roman" w:hAnsi="Times New Roman" w:eastAsia="宋体" w:cs="Times New Roman"/>
          <w:szCs w:val="24"/>
          <w:highlight w:val="none"/>
          <w:u w:val="none"/>
        </w:rPr>
      </w:pPr>
    </w:p>
    <w:sectPr>
      <w:headerReference r:id="rId3" w:type="default"/>
      <w:footerReference r:id="rId4" w:type="default"/>
      <w:pgSz w:w="16838" w:h="11906" w:orient="landscape"/>
      <w:pgMar w:top="1689" w:right="1440" w:bottom="1689"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C2306">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47481282"/>
                          </w:sdtPr>
                          <w:sdtContent>
                            <w:p w14:paraId="43ADC30A">
                              <w:pPr>
                                <w:ind w:firstLine="640"/>
                                <w:jc w:val="center"/>
                              </w:pPr>
                              <w:r>
                                <w:rPr>
                                  <w:rFonts w:cs="Times New Roman"/>
                                  <w:sz w:val="22"/>
                                </w:rPr>
                                <w:fldChar w:fldCharType="begin"/>
                              </w:r>
                              <w:r>
                                <w:rPr>
                                  <w:rFonts w:cs="Times New Roman"/>
                                  <w:sz w:val="22"/>
                                </w:rPr>
                                <w:instrText xml:space="preserve"> PAGE   \* MERGEFORMAT </w:instrText>
                              </w:r>
                              <w:r>
                                <w:rPr>
                                  <w:rFonts w:cs="Times New Roman"/>
                                  <w:sz w:val="22"/>
                                </w:rPr>
                                <w:fldChar w:fldCharType="separate"/>
                              </w:r>
                              <w:r>
                                <w:rPr>
                                  <w:rFonts w:cs="Times New Roman"/>
                                  <w:sz w:val="22"/>
                                  <w:lang w:val="zh-CN"/>
                                </w:rPr>
                                <w:t>1</w:t>
                              </w:r>
                              <w:r>
                                <w:rPr>
                                  <w:rFonts w:cs="Times New Roman"/>
                                  <w:sz w:val="22"/>
                                </w:rPr>
                                <w:fldChar w:fldCharType="end"/>
                              </w:r>
                            </w:p>
                          </w:sdtContent>
                        </w:sdt>
                        <w:p w14:paraId="7C202574">
                          <w:pPr>
                            <w:ind w:firstLine="64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JGuwyAgAAY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jB5loWN&#10;3loeoaM83i4PAXImlaMonRLoTjxg9lKfLnsSh/vPc4p6+m9YP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NIka7DICAABjBAAADgAAAAAAAAABACAAAAAfAQAAZHJzL2Uyb0RvYy54bWxQSwUG&#10;AAAAAAYABgBZAQAAwwUAAAAA&#10;">
              <v:fill on="f" focussize="0,0"/>
              <v:stroke on="f" weight="0.5pt"/>
              <v:imagedata o:title=""/>
              <o:lock v:ext="edit" aspectratio="f"/>
              <v:textbox inset="0mm,0mm,0mm,0mm" style="mso-fit-shape-to-text:t;">
                <w:txbxContent>
                  <w:sdt>
                    <w:sdtPr>
                      <w:id w:val="147481282"/>
                    </w:sdtPr>
                    <w:sdtContent>
                      <w:p w14:paraId="43ADC30A">
                        <w:pPr>
                          <w:ind w:firstLine="640"/>
                          <w:jc w:val="center"/>
                        </w:pPr>
                        <w:r>
                          <w:rPr>
                            <w:rFonts w:cs="Times New Roman"/>
                            <w:sz w:val="22"/>
                          </w:rPr>
                          <w:fldChar w:fldCharType="begin"/>
                        </w:r>
                        <w:r>
                          <w:rPr>
                            <w:rFonts w:cs="Times New Roman"/>
                            <w:sz w:val="22"/>
                          </w:rPr>
                          <w:instrText xml:space="preserve"> PAGE   \* MERGEFORMAT </w:instrText>
                        </w:r>
                        <w:r>
                          <w:rPr>
                            <w:rFonts w:cs="Times New Roman"/>
                            <w:sz w:val="22"/>
                          </w:rPr>
                          <w:fldChar w:fldCharType="separate"/>
                        </w:r>
                        <w:r>
                          <w:rPr>
                            <w:rFonts w:cs="Times New Roman"/>
                            <w:sz w:val="22"/>
                            <w:lang w:val="zh-CN"/>
                          </w:rPr>
                          <w:t>1</w:t>
                        </w:r>
                        <w:r>
                          <w:rPr>
                            <w:rFonts w:cs="Times New Roman"/>
                            <w:sz w:val="22"/>
                          </w:rPr>
                          <w:fldChar w:fldCharType="end"/>
                        </w:r>
                      </w:p>
                    </w:sdtContent>
                  </w:sdt>
                  <w:p w14:paraId="7C202574">
                    <w:pPr>
                      <w:ind w:firstLine="640"/>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C4831">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3ZmU4MjI4MDlmZDRhZjlhZTZiZTlkNGI4MWZmYzMifQ=="/>
  </w:docVars>
  <w:rsids>
    <w:rsidRoot w:val="0756497E"/>
    <w:rsid w:val="000B0102"/>
    <w:rsid w:val="000E3581"/>
    <w:rsid w:val="000E6A58"/>
    <w:rsid w:val="00117FC8"/>
    <w:rsid w:val="00183DF8"/>
    <w:rsid w:val="001B00C6"/>
    <w:rsid w:val="001C6216"/>
    <w:rsid w:val="001D30C2"/>
    <w:rsid w:val="001E331B"/>
    <w:rsid w:val="002025B2"/>
    <w:rsid w:val="00220130"/>
    <w:rsid w:val="0025013F"/>
    <w:rsid w:val="002D1829"/>
    <w:rsid w:val="003113C0"/>
    <w:rsid w:val="00347448"/>
    <w:rsid w:val="00361CE1"/>
    <w:rsid w:val="00364B2F"/>
    <w:rsid w:val="003702D8"/>
    <w:rsid w:val="00372077"/>
    <w:rsid w:val="00373B25"/>
    <w:rsid w:val="003D1630"/>
    <w:rsid w:val="003F2F14"/>
    <w:rsid w:val="003F685F"/>
    <w:rsid w:val="004376F1"/>
    <w:rsid w:val="00447A92"/>
    <w:rsid w:val="00484E35"/>
    <w:rsid w:val="004C0505"/>
    <w:rsid w:val="004D4F31"/>
    <w:rsid w:val="004F0D6E"/>
    <w:rsid w:val="00532731"/>
    <w:rsid w:val="0054797D"/>
    <w:rsid w:val="00577890"/>
    <w:rsid w:val="005B628A"/>
    <w:rsid w:val="005B6564"/>
    <w:rsid w:val="00607F00"/>
    <w:rsid w:val="00642823"/>
    <w:rsid w:val="00684910"/>
    <w:rsid w:val="006A7A00"/>
    <w:rsid w:val="006C527F"/>
    <w:rsid w:val="007510A0"/>
    <w:rsid w:val="00752C74"/>
    <w:rsid w:val="007644A2"/>
    <w:rsid w:val="007A16F8"/>
    <w:rsid w:val="007B1EBC"/>
    <w:rsid w:val="007D237F"/>
    <w:rsid w:val="008979E0"/>
    <w:rsid w:val="008D5C88"/>
    <w:rsid w:val="008E4A1F"/>
    <w:rsid w:val="008E570A"/>
    <w:rsid w:val="0091488D"/>
    <w:rsid w:val="00920E35"/>
    <w:rsid w:val="009312B0"/>
    <w:rsid w:val="00944AAD"/>
    <w:rsid w:val="009475CD"/>
    <w:rsid w:val="009F74BE"/>
    <w:rsid w:val="00A422CF"/>
    <w:rsid w:val="00A55DDE"/>
    <w:rsid w:val="00AC301C"/>
    <w:rsid w:val="00AF2EE4"/>
    <w:rsid w:val="00B31DB5"/>
    <w:rsid w:val="00B324CF"/>
    <w:rsid w:val="00B50FA6"/>
    <w:rsid w:val="00B87FE4"/>
    <w:rsid w:val="00C26995"/>
    <w:rsid w:val="00C5358B"/>
    <w:rsid w:val="00C675C7"/>
    <w:rsid w:val="00CC34C6"/>
    <w:rsid w:val="00CC4537"/>
    <w:rsid w:val="00CD213B"/>
    <w:rsid w:val="00CF6A72"/>
    <w:rsid w:val="00D47A47"/>
    <w:rsid w:val="00D66CC7"/>
    <w:rsid w:val="00DA6577"/>
    <w:rsid w:val="00E27252"/>
    <w:rsid w:val="00E27858"/>
    <w:rsid w:val="00E647DC"/>
    <w:rsid w:val="00E90A5B"/>
    <w:rsid w:val="00E92245"/>
    <w:rsid w:val="00EC1A40"/>
    <w:rsid w:val="00ED2F7A"/>
    <w:rsid w:val="00EE3570"/>
    <w:rsid w:val="00EE4F94"/>
    <w:rsid w:val="00F44AD4"/>
    <w:rsid w:val="00FE17ED"/>
    <w:rsid w:val="00FE5566"/>
    <w:rsid w:val="0756497E"/>
    <w:rsid w:val="14F12FF4"/>
    <w:rsid w:val="16DC22CD"/>
    <w:rsid w:val="177C2802"/>
    <w:rsid w:val="1C6356ED"/>
    <w:rsid w:val="22274F9A"/>
    <w:rsid w:val="27F54183"/>
    <w:rsid w:val="29701F6B"/>
    <w:rsid w:val="33B03BCC"/>
    <w:rsid w:val="3937531A"/>
    <w:rsid w:val="42D25533"/>
    <w:rsid w:val="47206F76"/>
    <w:rsid w:val="498629C0"/>
    <w:rsid w:val="49AA3AD2"/>
    <w:rsid w:val="4DB47221"/>
    <w:rsid w:val="4E8A09DE"/>
    <w:rsid w:val="52A76E3A"/>
    <w:rsid w:val="5A5F5F9F"/>
    <w:rsid w:val="5B9422BC"/>
    <w:rsid w:val="6357496F"/>
    <w:rsid w:val="6D8D1EF9"/>
    <w:rsid w:val="6F5C2C41"/>
    <w:rsid w:val="71E41971"/>
    <w:rsid w:val="736B376C"/>
    <w:rsid w:val="73700F48"/>
    <w:rsid w:val="73D75019"/>
    <w:rsid w:val="7B82251B"/>
    <w:rsid w:val="7E367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line="600" w:lineRule="exact"/>
      <w:jc w:val="center"/>
      <w:outlineLvl w:val="0"/>
    </w:pPr>
    <w:rPr>
      <w:rFonts w:eastAsia="方正小标宋简体"/>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Emphasis"/>
    <w:basedOn w:val="8"/>
    <w:qFormat/>
    <w:uiPriority w:val="0"/>
    <w:rPr>
      <w:i/>
    </w:rPr>
  </w:style>
  <w:style w:type="character" w:styleId="11">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1248</Words>
  <Characters>1382</Characters>
  <Lines>50</Lines>
  <Paragraphs>14</Paragraphs>
  <TotalTime>2</TotalTime>
  <ScaleCrop>false</ScaleCrop>
  <LinksUpToDate>false</LinksUpToDate>
  <CharactersWithSpaces>1419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2025-02-26T02:25:00Z</dcterms:created>
  <dc:creator>mlf</dc:creator>
  <cp:lastModifiedBy>Albert</cp:lastModifiedBy>
  <cp:lastPrinted>2025-02-26T09:51:00Z</cp:lastPrinted>
  <dcterms:modified xsi:type="dcterms:W3CDTF">2025-03-04T00:55:51Z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D83691155D744D7F93ADFE8920671676_13</vt:lpwstr>
  </property>
  <property fmtid="{D5CDD505-2E9C-101B-9397-08002B2CF9AE}" pid="4" name="KSOTemplateDocerSaveRecord">
    <vt:lpwstr>eyJoZGlkIjoiNzZjMjY0Yjc4YWM0NTRhZmI4ZWQ2MzY2MjUyNDI5NjIiLCJ1c2VySWQiOiIzMzA3MTAwNzUifQ==</vt:lpwstr>
  </property>
</Properties>
</file>